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EF" w:rsidRDefault="00C553DA" w:rsidP="00C553DA">
      <w:pPr>
        <w:pStyle w:val="Heading1"/>
        <w:jc w:val="center"/>
      </w:pPr>
      <w:r>
        <w:t xml:space="preserve">Comments on </w:t>
      </w:r>
      <w:r w:rsidR="00477E93">
        <w:t>ARINC 665-4 Draft 2</w:t>
      </w:r>
    </w:p>
    <w:tbl>
      <w:tblPr>
        <w:tblStyle w:val="ColorfulList-Accent1"/>
        <w:tblW w:w="0" w:type="auto"/>
        <w:tblLook w:val="04A0"/>
      </w:tblPr>
      <w:tblGrid>
        <w:gridCol w:w="1668"/>
        <w:gridCol w:w="7574"/>
      </w:tblGrid>
      <w:tr w:rsidR="00C553DA" w:rsidTr="00652B99">
        <w:trPr>
          <w:cnfStyle w:val="100000000000"/>
        </w:trPr>
        <w:tc>
          <w:tcPr>
            <w:cnfStyle w:val="001000000000"/>
            <w:tcW w:w="1668" w:type="dxa"/>
          </w:tcPr>
          <w:p w:rsidR="00C553DA" w:rsidRDefault="00C553DA" w:rsidP="00C553DA">
            <w:r>
              <w:t>Reference</w:t>
            </w:r>
          </w:p>
        </w:tc>
        <w:tc>
          <w:tcPr>
            <w:tcW w:w="7574" w:type="dxa"/>
          </w:tcPr>
          <w:p w:rsidR="00C553DA" w:rsidRDefault="00C553DA" w:rsidP="00C553DA">
            <w:pPr>
              <w:cnfStyle w:val="100000000000"/>
            </w:pPr>
            <w:r>
              <w:t>Comment</w:t>
            </w:r>
          </w:p>
        </w:tc>
      </w:tr>
      <w:tr w:rsidR="00325CA5" w:rsidTr="00652B99">
        <w:trPr>
          <w:cnfStyle w:val="000000100000"/>
        </w:trPr>
        <w:tc>
          <w:tcPr>
            <w:cnfStyle w:val="001000000000"/>
            <w:tcW w:w="1668" w:type="dxa"/>
          </w:tcPr>
          <w:p w:rsidR="00325CA5" w:rsidRDefault="00325CA5" w:rsidP="00C553DA">
            <w:r>
              <w:t>General</w:t>
            </w:r>
          </w:p>
        </w:tc>
        <w:tc>
          <w:tcPr>
            <w:tcW w:w="7574" w:type="dxa"/>
          </w:tcPr>
          <w:p w:rsidR="00325CA5" w:rsidRPr="00967828" w:rsidRDefault="00325CA5" w:rsidP="004D62EA">
            <w:pPr>
              <w:cnfStyle w:val="000000100000"/>
            </w:pPr>
            <w:r>
              <w:t>The document is very random with respect to when terms are capitalized. For example either ‘header file’ or ‘Header File’ should be used consistently throughout. Other examples are data file, support file, user defined data</w:t>
            </w:r>
            <w:proofErr w:type="gramStart"/>
            <w:r w:rsidR="004D62EA">
              <w:t xml:space="preserve">, </w:t>
            </w:r>
            <w:r>
              <w:t xml:space="preserve"> check</w:t>
            </w:r>
            <w:proofErr w:type="gramEnd"/>
            <w:r>
              <w:t xml:space="preserve"> value</w:t>
            </w:r>
            <w:r w:rsidR="004D62EA">
              <w:t xml:space="preserve"> and batch file</w:t>
            </w:r>
            <w:r>
              <w:t>.</w:t>
            </w:r>
          </w:p>
        </w:tc>
      </w:tr>
      <w:tr w:rsidR="00C553DA" w:rsidTr="00652B99">
        <w:tc>
          <w:tcPr>
            <w:cnfStyle w:val="001000000000"/>
            <w:tcW w:w="1668" w:type="dxa"/>
          </w:tcPr>
          <w:p w:rsidR="00C553DA" w:rsidRDefault="001D0443" w:rsidP="00C553DA">
            <w:r>
              <w:t>§</w:t>
            </w:r>
            <w:r w:rsidR="00D92211">
              <w:t>1.1 ¶1</w:t>
            </w:r>
          </w:p>
        </w:tc>
        <w:tc>
          <w:tcPr>
            <w:tcW w:w="7574" w:type="dxa"/>
          </w:tcPr>
          <w:p w:rsidR="00C553DA" w:rsidRPr="00967828" w:rsidRDefault="00D92211" w:rsidP="007F23CD">
            <w:pPr>
              <w:cnfStyle w:val="000000000000"/>
              <w:rPr>
                <w:color w:val="auto"/>
              </w:rPr>
            </w:pPr>
            <w:r w:rsidRPr="00967828">
              <w:rPr>
                <w:color w:val="auto"/>
              </w:rPr>
              <w:t>‘</w:t>
            </w:r>
            <w:proofErr w:type="gramStart"/>
            <w:r w:rsidR="007F23CD" w:rsidRPr="00967828">
              <w:rPr>
                <w:color w:val="auto"/>
              </w:rPr>
              <w:t>e</w:t>
            </w:r>
            <w:r w:rsidRPr="00967828">
              <w:rPr>
                <w:color w:val="auto"/>
              </w:rPr>
              <w:t>nsure</w:t>
            </w:r>
            <w:proofErr w:type="gramEnd"/>
            <w:r w:rsidRPr="00967828">
              <w:rPr>
                <w:color w:val="auto"/>
              </w:rPr>
              <w:t xml:space="preserve">’ </w:t>
            </w:r>
            <w:r w:rsidR="007F23CD" w:rsidRPr="00967828">
              <w:rPr>
                <w:color w:val="auto"/>
              </w:rPr>
              <w:t xml:space="preserve">would be better than </w:t>
            </w:r>
            <w:r w:rsidRPr="00967828">
              <w:rPr>
                <w:color w:val="auto"/>
              </w:rPr>
              <w:t>‘</w:t>
            </w:r>
            <w:r w:rsidR="007F23CD" w:rsidRPr="00967828">
              <w:rPr>
                <w:color w:val="auto"/>
              </w:rPr>
              <w:t>i</w:t>
            </w:r>
            <w:r w:rsidRPr="00967828">
              <w:rPr>
                <w:color w:val="auto"/>
              </w:rPr>
              <w:t>nsure’</w:t>
            </w:r>
            <w:r w:rsidR="007F23CD" w:rsidRPr="00967828">
              <w:rPr>
                <w:color w:val="auto"/>
              </w:rPr>
              <w:t xml:space="preserve"> (at least outside the US)</w:t>
            </w:r>
            <w:r w:rsidRPr="00967828">
              <w:rPr>
                <w:color w:val="auto"/>
              </w:rPr>
              <w:t>.</w:t>
            </w:r>
          </w:p>
        </w:tc>
      </w:tr>
      <w:tr w:rsidR="00C553DA" w:rsidTr="00652B99">
        <w:trPr>
          <w:cnfStyle w:val="000000100000"/>
        </w:trPr>
        <w:tc>
          <w:tcPr>
            <w:cnfStyle w:val="001000000000"/>
            <w:tcW w:w="1668" w:type="dxa"/>
          </w:tcPr>
          <w:p w:rsidR="00C553DA" w:rsidRDefault="001D0443" w:rsidP="00C553DA">
            <w:r>
              <w:t>§1.1 ¶1</w:t>
            </w:r>
          </w:p>
        </w:tc>
        <w:tc>
          <w:tcPr>
            <w:tcW w:w="7574" w:type="dxa"/>
          </w:tcPr>
          <w:p w:rsidR="00C553DA" w:rsidRPr="00967828" w:rsidRDefault="00DB77AB" w:rsidP="00C553DA">
            <w:pPr>
              <w:cnfStyle w:val="000000100000"/>
              <w:rPr>
                <w:color w:val="auto"/>
              </w:rPr>
            </w:pPr>
            <w:r w:rsidRPr="00967828">
              <w:rPr>
                <w:color w:val="auto"/>
              </w:rPr>
              <w:t xml:space="preserve">For consistency, </w:t>
            </w:r>
            <w:r w:rsidR="001D0443" w:rsidRPr="00967828">
              <w:rPr>
                <w:color w:val="auto"/>
              </w:rPr>
              <w:t>‘a Media Set containing’ should be ‘an MSP containing’.</w:t>
            </w:r>
          </w:p>
        </w:tc>
      </w:tr>
      <w:tr w:rsidR="00C553DA" w:rsidTr="00652B99">
        <w:tc>
          <w:tcPr>
            <w:cnfStyle w:val="001000000000"/>
            <w:tcW w:w="1668" w:type="dxa"/>
          </w:tcPr>
          <w:p w:rsidR="00C553DA" w:rsidRDefault="00DB58B1" w:rsidP="00C553DA">
            <w:r>
              <w:t>§1.1 ¶</w:t>
            </w:r>
            <w:r w:rsidR="00C4780E">
              <w:t>3</w:t>
            </w:r>
          </w:p>
        </w:tc>
        <w:tc>
          <w:tcPr>
            <w:tcW w:w="7574" w:type="dxa"/>
          </w:tcPr>
          <w:p w:rsidR="00C553DA" w:rsidRPr="00967828" w:rsidRDefault="00DB58B1" w:rsidP="00C553DA">
            <w:pPr>
              <w:cnfStyle w:val="000000000000"/>
              <w:rPr>
                <w:color w:val="auto"/>
              </w:rPr>
            </w:pPr>
            <w:r w:rsidRPr="00967828">
              <w:rPr>
                <w:color w:val="auto"/>
              </w:rPr>
              <w:t>‘MSP’ has been omitted when ‘Media Set’ was removed.</w:t>
            </w:r>
          </w:p>
        </w:tc>
      </w:tr>
      <w:tr w:rsidR="00C553DA" w:rsidTr="00652B99">
        <w:trPr>
          <w:cnfStyle w:val="000000100000"/>
        </w:trPr>
        <w:tc>
          <w:tcPr>
            <w:cnfStyle w:val="001000000000"/>
            <w:tcW w:w="1668" w:type="dxa"/>
          </w:tcPr>
          <w:p w:rsidR="00C553DA" w:rsidRDefault="00C4780E" w:rsidP="00C553DA">
            <w:r>
              <w:t>§1.1 ¶4</w:t>
            </w:r>
          </w:p>
        </w:tc>
        <w:tc>
          <w:tcPr>
            <w:tcW w:w="7574" w:type="dxa"/>
          </w:tcPr>
          <w:p w:rsidR="00C553DA" w:rsidRPr="00967828" w:rsidRDefault="00C4780E" w:rsidP="00C553DA">
            <w:pPr>
              <w:cnfStyle w:val="000000100000"/>
              <w:rPr>
                <w:color w:val="auto"/>
              </w:rPr>
            </w:pPr>
            <w:r w:rsidRPr="00967828">
              <w:rPr>
                <w:color w:val="auto"/>
              </w:rPr>
              <w:t>‘</w:t>
            </w:r>
            <w:proofErr w:type="gramStart"/>
            <w:r w:rsidRPr="00967828">
              <w:rPr>
                <w:color w:val="auto"/>
              </w:rPr>
              <w:t>definition</w:t>
            </w:r>
            <w:proofErr w:type="gramEnd"/>
            <w:r w:rsidRPr="00967828">
              <w:rPr>
                <w:color w:val="auto"/>
              </w:rPr>
              <w:t>’ should be ‘definition</w:t>
            </w:r>
            <w:r w:rsidRPr="00967828">
              <w:rPr>
                <w:b/>
                <w:color w:val="auto"/>
              </w:rPr>
              <w:t>s</w:t>
            </w:r>
            <w:r w:rsidRPr="00967828">
              <w:rPr>
                <w:color w:val="auto"/>
              </w:rPr>
              <w:t>’.</w:t>
            </w:r>
          </w:p>
        </w:tc>
      </w:tr>
      <w:tr w:rsidR="00C553DA" w:rsidTr="00652B99">
        <w:tc>
          <w:tcPr>
            <w:cnfStyle w:val="001000000000"/>
            <w:tcW w:w="1668" w:type="dxa"/>
          </w:tcPr>
          <w:p w:rsidR="00C553DA" w:rsidRDefault="00C4780E" w:rsidP="00C553DA">
            <w:r>
              <w:t>§1.1 ¶4</w:t>
            </w:r>
          </w:p>
        </w:tc>
        <w:tc>
          <w:tcPr>
            <w:tcW w:w="7574" w:type="dxa"/>
          </w:tcPr>
          <w:p w:rsidR="00C553DA" w:rsidRPr="00967828" w:rsidRDefault="00C4780E" w:rsidP="00C4780E">
            <w:pPr>
              <w:cnfStyle w:val="000000000000"/>
              <w:rPr>
                <w:color w:val="auto"/>
              </w:rPr>
            </w:pPr>
            <w:r w:rsidRPr="00967828">
              <w:rPr>
                <w:color w:val="auto"/>
              </w:rPr>
              <w:t>‘LSP’ should be ‘LSP or MSP’.</w:t>
            </w:r>
          </w:p>
        </w:tc>
      </w:tr>
      <w:tr w:rsidR="00C553DA" w:rsidTr="00652B99">
        <w:trPr>
          <w:cnfStyle w:val="000000100000"/>
        </w:trPr>
        <w:tc>
          <w:tcPr>
            <w:cnfStyle w:val="001000000000"/>
            <w:tcW w:w="1668" w:type="dxa"/>
          </w:tcPr>
          <w:p w:rsidR="00C553DA" w:rsidRDefault="00C4780E" w:rsidP="00C4780E">
            <w:r>
              <w:t>§1.2 ¶2</w:t>
            </w:r>
          </w:p>
        </w:tc>
        <w:tc>
          <w:tcPr>
            <w:tcW w:w="7574" w:type="dxa"/>
          </w:tcPr>
          <w:p w:rsidR="00C553DA" w:rsidRPr="006B1275" w:rsidRDefault="00C4780E" w:rsidP="00FA02A0">
            <w:pPr>
              <w:cnfStyle w:val="000000100000"/>
              <w:rPr>
                <w:color w:val="0070C0"/>
              </w:rPr>
            </w:pPr>
            <w:r w:rsidRPr="006B1275">
              <w:rPr>
                <w:color w:val="0070C0"/>
              </w:rPr>
              <w:t xml:space="preserve">ARINC 838 is not just an XML-based standard </w:t>
            </w:r>
            <w:r w:rsidR="00FA02A0" w:rsidRPr="006B1275">
              <w:rPr>
                <w:color w:val="0070C0"/>
              </w:rPr>
              <w:t>-</w:t>
            </w:r>
            <w:r w:rsidRPr="006B1275">
              <w:rPr>
                <w:color w:val="0070C0"/>
              </w:rPr>
              <w:t xml:space="preserve"> it is also a binary one. It is not good for the introduction to one standard to perpetuate a myth concerning another. Some guidance is needed on when to use ARINC 838 and when to use ARINC 665. As I understand it, ARINC 838 is intended to be a replacement (not an alternative) to ARINC 665.</w:t>
            </w:r>
          </w:p>
        </w:tc>
      </w:tr>
      <w:tr w:rsidR="00E47CB8" w:rsidTr="00652B99">
        <w:tc>
          <w:tcPr>
            <w:cnfStyle w:val="001000000000"/>
            <w:tcW w:w="1668" w:type="dxa"/>
          </w:tcPr>
          <w:p w:rsidR="00E47CB8" w:rsidRDefault="00E47CB8" w:rsidP="00C4780E">
            <w:r>
              <w:t>§1.2 ¶2</w:t>
            </w:r>
          </w:p>
        </w:tc>
        <w:tc>
          <w:tcPr>
            <w:tcW w:w="7574" w:type="dxa"/>
          </w:tcPr>
          <w:p w:rsidR="00E47CB8" w:rsidRPr="006B1275" w:rsidRDefault="00E47CB8" w:rsidP="00FA02A0">
            <w:pPr>
              <w:cnfStyle w:val="000000000000"/>
              <w:rPr>
                <w:color w:val="0070C0"/>
              </w:rPr>
            </w:pPr>
            <w:r w:rsidRPr="006B1275">
              <w:rPr>
                <w:color w:val="0070C0"/>
              </w:rPr>
              <w:t>Presumably ARINC 838 applies to the complete class of LSPs and its use is not restricted to LSAPs?</w:t>
            </w:r>
          </w:p>
        </w:tc>
      </w:tr>
      <w:tr w:rsidR="00E47CB8" w:rsidTr="00652B99">
        <w:trPr>
          <w:cnfStyle w:val="000000100000"/>
        </w:trPr>
        <w:tc>
          <w:tcPr>
            <w:cnfStyle w:val="001000000000"/>
            <w:tcW w:w="1668" w:type="dxa"/>
          </w:tcPr>
          <w:p w:rsidR="00E47CB8" w:rsidRDefault="00E47CB8" w:rsidP="00745241">
            <w:r>
              <w:t>§1.</w:t>
            </w:r>
            <w:r w:rsidR="00745241">
              <w:t>3.1</w:t>
            </w:r>
            <w:r>
              <w:t xml:space="preserve"> ¶1</w:t>
            </w:r>
          </w:p>
        </w:tc>
        <w:tc>
          <w:tcPr>
            <w:tcW w:w="7574" w:type="dxa"/>
          </w:tcPr>
          <w:p w:rsidR="00E47CB8" w:rsidRPr="00967828" w:rsidRDefault="00E47CB8" w:rsidP="00E47CB8">
            <w:pPr>
              <w:cnfStyle w:val="000000100000"/>
              <w:rPr>
                <w:color w:val="auto"/>
              </w:rPr>
            </w:pPr>
            <w:r w:rsidRPr="00967828">
              <w:rPr>
                <w:color w:val="auto"/>
              </w:rPr>
              <w:t>For consistency, ‘loadable software,’ should be ‘Loadable Software Parts’.</w:t>
            </w:r>
          </w:p>
        </w:tc>
      </w:tr>
      <w:tr w:rsidR="00E47CB8" w:rsidTr="00652B99">
        <w:tc>
          <w:tcPr>
            <w:cnfStyle w:val="001000000000"/>
            <w:tcW w:w="1668" w:type="dxa"/>
          </w:tcPr>
          <w:p w:rsidR="00E47CB8" w:rsidRDefault="00E47CB8" w:rsidP="00745241">
            <w:r>
              <w:t>§1.</w:t>
            </w:r>
            <w:r w:rsidR="00745241">
              <w:t>3.1</w:t>
            </w:r>
            <w:r>
              <w:t xml:space="preserve"> ¶1</w:t>
            </w:r>
          </w:p>
        </w:tc>
        <w:tc>
          <w:tcPr>
            <w:tcW w:w="7574" w:type="dxa"/>
          </w:tcPr>
          <w:p w:rsidR="00E47CB8" w:rsidRPr="00967828" w:rsidRDefault="00236C00" w:rsidP="00236C00">
            <w:pPr>
              <w:cnfStyle w:val="000000000000"/>
              <w:rPr>
                <w:color w:val="auto"/>
              </w:rPr>
            </w:pPr>
            <w:r w:rsidRPr="00967828">
              <w:rPr>
                <w:color w:val="auto"/>
              </w:rPr>
              <w:t xml:space="preserve">ARINC 665 is a ‘standard’, not a ‘recommendation’. Thus </w:t>
            </w:r>
            <w:r w:rsidR="00E47CB8" w:rsidRPr="00967828">
              <w:rPr>
                <w:color w:val="auto"/>
              </w:rPr>
              <w:t>‘meeting the recommendations of this report’ should be ‘</w:t>
            </w:r>
            <w:proofErr w:type="gramStart"/>
            <w:r w:rsidR="00E47CB8" w:rsidRPr="00967828">
              <w:rPr>
                <w:color w:val="auto"/>
              </w:rPr>
              <w:t>comply</w:t>
            </w:r>
            <w:proofErr w:type="gramEnd"/>
            <w:r w:rsidR="00E47CB8" w:rsidRPr="00967828">
              <w:rPr>
                <w:color w:val="auto"/>
              </w:rPr>
              <w:t xml:space="preserve"> with this standard’.</w:t>
            </w:r>
          </w:p>
        </w:tc>
      </w:tr>
      <w:tr w:rsidR="00745241" w:rsidTr="00652B99">
        <w:trPr>
          <w:cnfStyle w:val="000000100000"/>
        </w:trPr>
        <w:tc>
          <w:tcPr>
            <w:cnfStyle w:val="001000000000"/>
            <w:tcW w:w="1668" w:type="dxa"/>
          </w:tcPr>
          <w:p w:rsidR="00745241" w:rsidRDefault="00745241" w:rsidP="00745241">
            <w:r>
              <w:t>§1.3.1 ¶2</w:t>
            </w:r>
          </w:p>
        </w:tc>
        <w:tc>
          <w:tcPr>
            <w:tcW w:w="7574" w:type="dxa"/>
          </w:tcPr>
          <w:p w:rsidR="00745241" w:rsidRPr="00967828" w:rsidRDefault="00745241" w:rsidP="001324EF">
            <w:pPr>
              <w:cnfStyle w:val="000000100000"/>
              <w:rPr>
                <w:color w:val="auto"/>
              </w:rPr>
            </w:pPr>
            <w:r w:rsidRPr="00967828">
              <w:rPr>
                <w:color w:val="auto"/>
              </w:rPr>
              <w:t>Should all occurrences of ‘should’ be changed to ‘shall’ to match current ARINC and industry standard practice?</w:t>
            </w:r>
          </w:p>
        </w:tc>
      </w:tr>
      <w:tr w:rsidR="00745241" w:rsidTr="00652B99">
        <w:tc>
          <w:tcPr>
            <w:cnfStyle w:val="001000000000"/>
            <w:tcW w:w="1668" w:type="dxa"/>
          </w:tcPr>
          <w:p w:rsidR="00745241" w:rsidRDefault="00D716C0" w:rsidP="00C553DA">
            <w:r>
              <w:t>§1.3.1 ¶2</w:t>
            </w:r>
          </w:p>
        </w:tc>
        <w:tc>
          <w:tcPr>
            <w:tcW w:w="7574" w:type="dxa"/>
          </w:tcPr>
          <w:p w:rsidR="00745241" w:rsidRPr="00967828" w:rsidRDefault="00D716C0" w:rsidP="00D716C0">
            <w:pPr>
              <w:cnfStyle w:val="000000000000"/>
              <w:rPr>
                <w:color w:val="auto"/>
              </w:rPr>
            </w:pPr>
            <w:r w:rsidRPr="00967828">
              <w:rPr>
                <w:color w:val="auto"/>
              </w:rPr>
              <w:t>The clause ‘for the unit’ should be removed - this standard applies to tools as well as units.</w:t>
            </w:r>
          </w:p>
        </w:tc>
      </w:tr>
      <w:tr w:rsidR="00745241" w:rsidTr="00652B99">
        <w:trPr>
          <w:cnfStyle w:val="000000100000"/>
        </w:trPr>
        <w:tc>
          <w:tcPr>
            <w:cnfStyle w:val="001000000000"/>
            <w:tcW w:w="1668" w:type="dxa"/>
          </w:tcPr>
          <w:p w:rsidR="00745241" w:rsidRDefault="00D75B63" w:rsidP="00D75B63">
            <w:r>
              <w:t>§1.3.2</w:t>
            </w:r>
            <w:r w:rsidR="00D557B9">
              <w:t xml:space="preserve"> ¶1</w:t>
            </w:r>
          </w:p>
        </w:tc>
        <w:tc>
          <w:tcPr>
            <w:tcW w:w="7574" w:type="dxa"/>
          </w:tcPr>
          <w:p w:rsidR="00745241" w:rsidRPr="00967828" w:rsidRDefault="00D75B63" w:rsidP="0046300A">
            <w:pPr>
              <w:cnfStyle w:val="000000100000"/>
              <w:rPr>
                <w:color w:val="auto"/>
              </w:rPr>
            </w:pPr>
            <w:r w:rsidRPr="00967828">
              <w:rPr>
                <w:color w:val="auto"/>
              </w:rPr>
              <w:t>Why does ‘Hexadecimal’ have a capita</w:t>
            </w:r>
            <w:r w:rsidR="0046300A" w:rsidRPr="00967828">
              <w:rPr>
                <w:color w:val="auto"/>
              </w:rPr>
              <w:t>l</w:t>
            </w:r>
            <w:r w:rsidRPr="00967828">
              <w:rPr>
                <w:color w:val="auto"/>
              </w:rPr>
              <w:t xml:space="preserve"> ‘H’?</w:t>
            </w:r>
          </w:p>
        </w:tc>
      </w:tr>
      <w:tr w:rsidR="00745241" w:rsidTr="00652B99">
        <w:tc>
          <w:tcPr>
            <w:cnfStyle w:val="001000000000"/>
            <w:tcW w:w="1668" w:type="dxa"/>
          </w:tcPr>
          <w:p w:rsidR="00745241" w:rsidRDefault="0046300A" w:rsidP="00C553DA">
            <w:r>
              <w:t>§1.3.3</w:t>
            </w:r>
            <w:r w:rsidR="00D557B9">
              <w:t xml:space="preserve"> ¶1</w:t>
            </w:r>
          </w:p>
        </w:tc>
        <w:tc>
          <w:tcPr>
            <w:tcW w:w="7574" w:type="dxa"/>
          </w:tcPr>
          <w:p w:rsidR="00745241" w:rsidRPr="00967828" w:rsidRDefault="0046300A" w:rsidP="00C553DA">
            <w:pPr>
              <w:cnfStyle w:val="000000000000"/>
              <w:rPr>
                <w:color w:val="auto"/>
              </w:rPr>
            </w:pPr>
            <w:r w:rsidRPr="00967828">
              <w:rPr>
                <w:color w:val="auto"/>
              </w:rPr>
              <w:t>‘</w:t>
            </w:r>
            <w:proofErr w:type="gramStart"/>
            <w:r w:rsidRPr="00967828">
              <w:rPr>
                <w:color w:val="auto"/>
              </w:rPr>
              <w:t>as</w:t>
            </w:r>
            <w:proofErr w:type="gramEnd"/>
            <w:r w:rsidRPr="00967828">
              <w:rPr>
                <w:color w:val="auto"/>
              </w:rPr>
              <w:t xml:space="preserve"> numeric’ should be ‘as being of a’.</w:t>
            </w:r>
          </w:p>
        </w:tc>
      </w:tr>
      <w:tr w:rsidR="0046300A" w:rsidTr="00652B99">
        <w:trPr>
          <w:cnfStyle w:val="000000100000"/>
        </w:trPr>
        <w:tc>
          <w:tcPr>
            <w:cnfStyle w:val="001000000000"/>
            <w:tcW w:w="1668" w:type="dxa"/>
          </w:tcPr>
          <w:p w:rsidR="0046300A" w:rsidRDefault="0046300A" w:rsidP="001324EF">
            <w:r>
              <w:t>§1.3.3</w:t>
            </w:r>
            <w:r w:rsidR="00D557B9">
              <w:t xml:space="preserve"> ¶1</w:t>
            </w:r>
          </w:p>
        </w:tc>
        <w:tc>
          <w:tcPr>
            <w:tcW w:w="7574" w:type="dxa"/>
          </w:tcPr>
          <w:p w:rsidR="0046300A" w:rsidRPr="00967828" w:rsidRDefault="0046300A" w:rsidP="0046300A">
            <w:pPr>
              <w:cnfStyle w:val="000000100000"/>
              <w:rPr>
                <w:color w:val="auto"/>
              </w:rPr>
            </w:pPr>
            <w:r w:rsidRPr="00967828">
              <w:rPr>
                <w:color w:val="auto"/>
              </w:rPr>
              <w:t xml:space="preserve">For consistency, ‘Check value’ should be ‘Check </w:t>
            </w:r>
            <w:r w:rsidRPr="00967828">
              <w:rPr>
                <w:b/>
                <w:color w:val="auto"/>
              </w:rPr>
              <w:t>V</w:t>
            </w:r>
            <w:r w:rsidRPr="00967828">
              <w:rPr>
                <w:color w:val="auto"/>
              </w:rPr>
              <w:t>alue’.</w:t>
            </w:r>
          </w:p>
        </w:tc>
      </w:tr>
      <w:tr w:rsidR="0046300A" w:rsidTr="00652B99">
        <w:tc>
          <w:tcPr>
            <w:cnfStyle w:val="001000000000"/>
            <w:tcW w:w="1668" w:type="dxa"/>
          </w:tcPr>
          <w:p w:rsidR="0046300A" w:rsidRDefault="00945D8B" w:rsidP="00945D8B">
            <w:r>
              <w:t>§1.4 ¶1</w:t>
            </w:r>
          </w:p>
        </w:tc>
        <w:tc>
          <w:tcPr>
            <w:tcW w:w="7574" w:type="dxa"/>
          </w:tcPr>
          <w:p w:rsidR="0046300A" w:rsidRPr="00967828" w:rsidRDefault="00945D8B" w:rsidP="007E0629">
            <w:pPr>
              <w:cnfStyle w:val="000000000000"/>
              <w:rPr>
                <w:color w:val="auto"/>
              </w:rPr>
            </w:pPr>
            <w:r w:rsidRPr="00967828">
              <w:rPr>
                <w:color w:val="auto"/>
              </w:rPr>
              <w:t>‘Loadable Softwar</w:t>
            </w:r>
            <w:r w:rsidR="007E0629">
              <w:rPr>
                <w:color w:val="auto"/>
              </w:rPr>
              <w:t>e Parts (LSPs)’ should be ‘LSPs/</w:t>
            </w:r>
            <w:r w:rsidRPr="00967828">
              <w:rPr>
                <w:color w:val="auto"/>
              </w:rPr>
              <w:t>MSPs’.</w:t>
            </w:r>
          </w:p>
        </w:tc>
      </w:tr>
      <w:tr w:rsidR="0046300A" w:rsidTr="00652B99">
        <w:trPr>
          <w:cnfStyle w:val="000000100000"/>
        </w:trPr>
        <w:tc>
          <w:tcPr>
            <w:cnfStyle w:val="001000000000"/>
            <w:tcW w:w="1668" w:type="dxa"/>
          </w:tcPr>
          <w:p w:rsidR="0046300A" w:rsidRDefault="00945D8B" w:rsidP="00945D8B">
            <w:r>
              <w:t>§1.4.1</w:t>
            </w:r>
            <w:r w:rsidR="00D557B9">
              <w:t xml:space="preserve"> ¶1</w:t>
            </w:r>
          </w:p>
        </w:tc>
        <w:tc>
          <w:tcPr>
            <w:tcW w:w="7574" w:type="dxa"/>
          </w:tcPr>
          <w:p w:rsidR="0046300A" w:rsidRPr="00967828" w:rsidRDefault="00945D8B" w:rsidP="00C553DA">
            <w:pPr>
              <w:cnfStyle w:val="000000100000"/>
              <w:rPr>
                <w:color w:val="auto"/>
              </w:rPr>
            </w:pPr>
            <w:r w:rsidRPr="00967828">
              <w:rPr>
                <w:color w:val="auto"/>
              </w:rPr>
              <w:t>‘Number’ should be dropped from ‘File Format Version Number’ – ‘Number’ is not used throughout the rest of the document.</w:t>
            </w:r>
          </w:p>
        </w:tc>
      </w:tr>
      <w:tr w:rsidR="001324EF" w:rsidTr="00652B99">
        <w:tc>
          <w:tcPr>
            <w:cnfStyle w:val="001000000000"/>
            <w:tcW w:w="1668" w:type="dxa"/>
          </w:tcPr>
          <w:p w:rsidR="001324EF" w:rsidRDefault="001324EF" w:rsidP="00C553DA">
            <w:r>
              <w:t>§1.4.1</w:t>
            </w:r>
            <w:r w:rsidR="00D557B9">
              <w:t xml:space="preserve">  ¶1</w:t>
            </w:r>
          </w:p>
        </w:tc>
        <w:tc>
          <w:tcPr>
            <w:tcW w:w="7574" w:type="dxa"/>
          </w:tcPr>
          <w:p w:rsidR="001324EF" w:rsidRPr="00967828" w:rsidRDefault="001324EF" w:rsidP="00945D8B">
            <w:pPr>
              <w:cnfStyle w:val="000000000000"/>
              <w:rPr>
                <w:color w:val="auto"/>
              </w:rPr>
            </w:pPr>
            <w:r w:rsidRPr="00967828">
              <w:rPr>
                <w:color w:val="auto"/>
              </w:rPr>
              <w:t>For consistency, ‘Media’ should be ‘Media Set Part’.</w:t>
            </w:r>
          </w:p>
        </w:tc>
      </w:tr>
      <w:tr w:rsidR="0046300A" w:rsidTr="00652B99">
        <w:trPr>
          <w:cnfStyle w:val="000000100000"/>
        </w:trPr>
        <w:tc>
          <w:tcPr>
            <w:cnfStyle w:val="001000000000"/>
            <w:tcW w:w="1668" w:type="dxa"/>
          </w:tcPr>
          <w:p w:rsidR="0046300A" w:rsidRDefault="00945D8B" w:rsidP="00C553DA">
            <w:r>
              <w:t>§1.4.1 ¶2</w:t>
            </w:r>
          </w:p>
        </w:tc>
        <w:tc>
          <w:tcPr>
            <w:tcW w:w="7574" w:type="dxa"/>
          </w:tcPr>
          <w:p w:rsidR="0046300A" w:rsidRPr="00967828" w:rsidRDefault="00945D8B" w:rsidP="00945D8B">
            <w:pPr>
              <w:cnfStyle w:val="000000100000"/>
              <w:rPr>
                <w:color w:val="auto"/>
              </w:rPr>
            </w:pPr>
            <w:r w:rsidRPr="00967828">
              <w:rPr>
                <w:color w:val="auto"/>
              </w:rPr>
              <w:t>The first occurrence of the term ‘load’ appears here. The SDL has decided to use the term ‘loadable software part (LSP)’ consistently in future. If it is considered too much work to eliminate this term from ARINC 665, there should at least be some commentary to explain the term ‘load’ is shorthand for ‘LSP’ throughout the rest of the document. Personally, I would eliminate it entirely.</w:t>
            </w:r>
          </w:p>
        </w:tc>
      </w:tr>
      <w:tr w:rsidR="0046300A" w:rsidTr="00652B99">
        <w:tc>
          <w:tcPr>
            <w:cnfStyle w:val="001000000000"/>
            <w:tcW w:w="1668" w:type="dxa"/>
          </w:tcPr>
          <w:p w:rsidR="0046300A" w:rsidRDefault="001324EF" w:rsidP="001324EF">
            <w:r>
              <w:t>§1.4.1 ¶3</w:t>
            </w:r>
          </w:p>
        </w:tc>
        <w:tc>
          <w:tcPr>
            <w:tcW w:w="7574" w:type="dxa"/>
          </w:tcPr>
          <w:p w:rsidR="0046300A" w:rsidRPr="001324EF" w:rsidRDefault="001324EF" w:rsidP="001324EF">
            <w:pPr>
              <w:cnfStyle w:val="000000000000"/>
              <w:rPr>
                <w:b/>
              </w:rPr>
            </w:pPr>
            <w:r w:rsidRPr="006B1275">
              <w:rPr>
                <w:color w:val="0070C0"/>
              </w:rPr>
              <w:t>Surely the versions need to change in this supplement to 0x8005, 0x9005 and 0xA005?</w:t>
            </w:r>
            <w:r w:rsidRPr="00967828">
              <w:rPr>
                <w:color w:val="auto"/>
              </w:rPr>
              <w:t xml:space="preserve"> Some explanation that the last nibble is supplement specific would be useful.</w:t>
            </w:r>
          </w:p>
        </w:tc>
      </w:tr>
      <w:tr w:rsidR="0046300A" w:rsidTr="00652B99">
        <w:trPr>
          <w:cnfStyle w:val="000000100000"/>
        </w:trPr>
        <w:tc>
          <w:tcPr>
            <w:cnfStyle w:val="001000000000"/>
            <w:tcW w:w="1668" w:type="dxa"/>
          </w:tcPr>
          <w:p w:rsidR="0046300A" w:rsidRDefault="001324EF" w:rsidP="00C553DA">
            <w:r>
              <w:t>§1.4.1 ¶4</w:t>
            </w:r>
          </w:p>
        </w:tc>
        <w:tc>
          <w:tcPr>
            <w:tcW w:w="7574" w:type="dxa"/>
          </w:tcPr>
          <w:p w:rsidR="0046300A" w:rsidRPr="00967828" w:rsidRDefault="001324EF" w:rsidP="00C553DA">
            <w:pPr>
              <w:cnfStyle w:val="000000100000"/>
              <w:rPr>
                <w:color w:val="auto"/>
              </w:rPr>
            </w:pPr>
            <w:r w:rsidRPr="00967828">
              <w:rPr>
                <w:color w:val="auto"/>
              </w:rPr>
              <w:t xml:space="preserve">‘Load File format version’ should be either ‘Load File </w:t>
            </w:r>
            <w:r w:rsidRPr="00967828">
              <w:rPr>
                <w:b/>
                <w:color w:val="auto"/>
              </w:rPr>
              <w:t>F</w:t>
            </w:r>
            <w:r w:rsidRPr="00967828">
              <w:rPr>
                <w:color w:val="auto"/>
              </w:rPr>
              <w:t xml:space="preserve">ormat </w:t>
            </w:r>
            <w:r w:rsidRPr="00967828">
              <w:rPr>
                <w:b/>
                <w:color w:val="auto"/>
              </w:rPr>
              <w:t>V</w:t>
            </w:r>
            <w:r w:rsidRPr="00967828">
              <w:rPr>
                <w:color w:val="auto"/>
              </w:rPr>
              <w:t>ersion’ or ‘</w:t>
            </w:r>
            <w:r w:rsidR="0045549D" w:rsidRPr="00967828">
              <w:rPr>
                <w:b/>
                <w:color w:val="auto"/>
              </w:rPr>
              <w:t>l</w:t>
            </w:r>
            <w:r w:rsidR="0045549D" w:rsidRPr="00967828">
              <w:rPr>
                <w:color w:val="auto"/>
              </w:rPr>
              <w:t xml:space="preserve">oad </w:t>
            </w:r>
            <w:r w:rsidR="0045549D" w:rsidRPr="00967828">
              <w:rPr>
                <w:b/>
                <w:color w:val="auto"/>
              </w:rPr>
              <w:t>f</w:t>
            </w:r>
            <w:r w:rsidR="0045549D" w:rsidRPr="00967828">
              <w:rPr>
                <w:color w:val="auto"/>
              </w:rPr>
              <w:t>ile format version’.</w:t>
            </w:r>
          </w:p>
        </w:tc>
      </w:tr>
      <w:tr w:rsidR="0046300A" w:rsidTr="00652B99">
        <w:tc>
          <w:tcPr>
            <w:cnfStyle w:val="001000000000"/>
            <w:tcW w:w="1668" w:type="dxa"/>
          </w:tcPr>
          <w:p w:rsidR="0046300A" w:rsidRDefault="0045549D" w:rsidP="00C553DA">
            <w:r>
              <w:t>§1.4.1 ¶4</w:t>
            </w:r>
          </w:p>
        </w:tc>
        <w:tc>
          <w:tcPr>
            <w:tcW w:w="7574" w:type="dxa"/>
          </w:tcPr>
          <w:p w:rsidR="0046300A" w:rsidRPr="00967828" w:rsidRDefault="0045549D" w:rsidP="00C553DA">
            <w:pPr>
              <w:cnfStyle w:val="000000000000"/>
              <w:rPr>
                <w:color w:val="0070C0"/>
              </w:rPr>
            </w:pPr>
            <w:r w:rsidRPr="00967828">
              <w:rPr>
                <w:color w:val="0070C0"/>
              </w:rPr>
              <w:t xml:space="preserve">To allow 0x8004 </w:t>
            </w:r>
            <w:r w:rsidRPr="00967828">
              <w:rPr>
                <w:b/>
                <w:color w:val="0070C0"/>
              </w:rPr>
              <w:t>and 0x8005</w:t>
            </w:r>
            <w:r w:rsidRPr="00967828">
              <w:rPr>
                <w:color w:val="0070C0"/>
              </w:rPr>
              <w:t xml:space="preserve"> to remain compatible with 0x8003...</w:t>
            </w:r>
          </w:p>
        </w:tc>
      </w:tr>
      <w:tr w:rsidR="006B1275" w:rsidTr="00652B99">
        <w:trPr>
          <w:cnfStyle w:val="000000100000"/>
        </w:trPr>
        <w:tc>
          <w:tcPr>
            <w:cnfStyle w:val="001000000000"/>
            <w:tcW w:w="1668" w:type="dxa"/>
          </w:tcPr>
          <w:p w:rsidR="006B1275" w:rsidRDefault="006B1275" w:rsidP="00C553DA">
            <w:r>
              <w:t>§1.4.1 ¶2</w:t>
            </w:r>
          </w:p>
        </w:tc>
        <w:tc>
          <w:tcPr>
            <w:tcW w:w="7574" w:type="dxa"/>
          </w:tcPr>
          <w:p w:rsidR="006B1275" w:rsidRPr="00967828" w:rsidRDefault="006B1275" w:rsidP="006B1275">
            <w:pPr>
              <w:cnfStyle w:val="000000100000"/>
              <w:rPr>
                <w:color w:val="auto"/>
              </w:rPr>
            </w:pPr>
            <w:r w:rsidRPr="00967828">
              <w:rPr>
                <w:color w:val="auto"/>
              </w:rPr>
              <w:t>‘Loadable Software Standard’ should be ‘Loadable Software Standard</w:t>
            </w:r>
            <w:r w:rsidRPr="00967828">
              <w:rPr>
                <w:b/>
                <w:color w:val="auto"/>
              </w:rPr>
              <w:t>s</w:t>
            </w:r>
            <w:r w:rsidRPr="00967828">
              <w:rPr>
                <w:color w:val="auto"/>
              </w:rPr>
              <w:t>’.</w:t>
            </w:r>
          </w:p>
        </w:tc>
      </w:tr>
      <w:tr w:rsidR="00967828" w:rsidTr="00652B99">
        <w:tc>
          <w:tcPr>
            <w:cnfStyle w:val="001000000000"/>
            <w:tcW w:w="1668" w:type="dxa"/>
          </w:tcPr>
          <w:p w:rsidR="00967828" w:rsidRDefault="00967828" w:rsidP="00967828">
            <w:r>
              <w:t>§1.4.2 ¶2</w:t>
            </w:r>
          </w:p>
        </w:tc>
        <w:tc>
          <w:tcPr>
            <w:tcW w:w="7574" w:type="dxa"/>
          </w:tcPr>
          <w:p w:rsidR="00967828" w:rsidRPr="00967828" w:rsidRDefault="00967828" w:rsidP="00A66EDF">
            <w:pPr>
              <w:cnfStyle w:val="000000000000"/>
              <w:rPr>
                <w:color w:val="auto"/>
              </w:rPr>
            </w:pPr>
            <w:r>
              <w:rPr>
                <w:color w:val="auto"/>
              </w:rPr>
              <w:t>The clause beginning ‘except’ is superfluous – if a field is defined in a report it is not their ‘own definition’</w:t>
            </w:r>
            <w:r w:rsidRPr="00967828">
              <w:rPr>
                <w:color w:val="auto"/>
              </w:rPr>
              <w:t>.</w:t>
            </w:r>
          </w:p>
        </w:tc>
      </w:tr>
      <w:tr w:rsidR="00967828" w:rsidTr="00652B99">
        <w:trPr>
          <w:cnfStyle w:val="000000100000"/>
        </w:trPr>
        <w:tc>
          <w:tcPr>
            <w:cnfStyle w:val="001000000000"/>
            <w:tcW w:w="1668" w:type="dxa"/>
          </w:tcPr>
          <w:p w:rsidR="00967828" w:rsidRDefault="007E0629" w:rsidP="007E0629">
            <w:r>
              <w:t>§1.4.3 ¶1</w:t>
            </w:r>
          </w:p>
        </w:tc>
        <w:tc>
          <w:tcPr>
            <w:tcW w:w="7574" w:type="dxa"/>
          </w:tcPr>
          <w:p w:rsidR="00967828" w:rsidRPr="00967828" w:rsidRDefault="007E0629" w:rsidP="006B1275">
            <w:pPr>
              <w:cnfStyle w:val="000000100000"/>
              <w:rPr>
                <w:color w:val="auto"/>
              </w:rPr>
            </w:pPr>
            <w:r>
              <w:rPr>
                <w:color w:val="auto"/>
              </w:rPr>
              <w:t>‘LSPs’ should be ‘LSPs/MSPs’.</w:t>
            </w:r>
          </w:p>
        </w:tc>
      </w:tr>
      <w:tr w:rsidR="00700988" w:rsidTr="00652B99">
        <w:tc>
          <w:tcPr>
            <w:cnfStyle w:val="001000000000"/>
            <w:tcW w:w="1668" w:type="dxa"/>
          </w:tcPr>
          <w:p w:rsidR="00700988" w:rsidRDefault="00700988" w:rsidP="00700988">
            <w:r>
              <w:t>§1.4.4 ¶4</w:t>
            </w:r>
          </w:p>
        </w:tc>
        <w:tc>
          <w:tcPr>
            <w:tcW w:w="7574" w:type="dxa"/>
          </w:tcPr>
          <w:p w:rsidR="00700988" w:rsidRPr="00967828" w:rsidRDefault="00700988" w:rsidP="00700988">
            <w:pPr>
              <w:cnfStyle w:val="000000000000"/>
              <w:rPr>
                <w:color w:val="auto"/>
              </w:rPr>
            </w:pPr>
            <w:r>
              <w:rPr>
                <w:color w:val="auto"/>
              </w:rPr>
              <w:t>‘</w:t>
            </w:r>
            <w:proofErr w:type="gramStart"/>
            <w:r>
              <w:rPr>
                <w:color w:val="auto"/>
              </w:rPr>
              <w:t>with</w:t>
            </w:r>
            <w:proofErr w:type="gramEnd"/>
            <w:r>
              <w:rPr>
                <w:color w:val="auto"/>
              </w:rPr>
              <w:t xml:space="preserve"> actual definition of the Header Field format’ should be ‘in the case of the Header </w:t>
            </w:r>
            <w:r w:rsidRPr="00700988">
              <w:rPr>
                <w:b/>
                <w:color w:val="auto"/>
              </w:rPr>
              <w:t>File</w:t>
            </w:r>
            <w:r>
              <w:rPr>
                <w:color w:val="auto"/>
              </w:rPr>
              <w:t xml:space="preserve"> format’.</w:t>
            </w:r>
          </w:p>
        </w:tc>
      </w:tr>
      <w:tr w:rsidR="00700988" w:rsidTr="00652B99">
        <w:trPr>
          <w:cnfStyle w:val="000000100000"/>
        </w:trPr>
        <w:tc>
          <w:tcPr>
            <w:cnfStyle w:val="001000000000"/>
            <w:tcW w:w="1668" w:type="dxa"/>
          </w:tcPr>
          <w:p w:rsidR="00700988" w:rsidRDefault="00CC6451" w:rsidP="00C553DA">
            <w:r>
              <w:lastRenderedPageBreak/>
              <w:t>Figure 1.4.4</w:t>
            </w:r>
          </w:p>
        </w:tc>
        <w:tc>
          <w:tcPr>
            <w:tcW w:w="7574" w:type="dxa"/>
          </w:tcPr>
          <w:p w:rsidR="00700988" w:rsidRPr="00967828" w:rsidRDefault="00CC6451" w:rsidP="006B1275">
            <w:pPr>
              <w:cnfStyle w:val="000000100000"/>
              <w:rPr>
                <w:color w:val="auto"/>
              </w:rPr>
            </w:pPr>
            <w:r>
              <w:rPr>
                <w:color w:val="auto"/>
              </w:rPr>
              <w:t>It would be clearer to use 02, 06 and 08 in the explanation below the figure.</w:t>
            </w:r>
          </w:p>
        </w:tc>
      </w:tr>
      <w:tr w:rsidR="00CC6451" w:rsidTr="00652B99">
        <w:tc>
          <w:tcPr>
            <w:cnfStyle w:val="001000000000"/>
            <w:tcW w:w="1668" w:type="dxa"/>
          </w:tcPr>
          <w:p w:rsidR="00CC6451" w:rsidRDefault="00CC6451" w:rsidP="00A66EDF">
            <w:r>
              <w:t>Figure 1.4.4</w:t>
            </w:r>
          </w:p>
        </w:tc>
        <w:tc>
          <w:tcPr>
            <w:tcW w:w="7574" w:type="dxa"/>
          </w:tcPr>
          <w:p w:rsidR="00CC6451" w:rsidRPr="00967828" w:rsidRDefault="00CC6451" w:rsidP="00A66EDF">
            <w:pPr>
              <w:cnfStyle w:val="000000000000"/>
              <w:rPr>
                <w:color w:val="auto"/>
              </w:rPr>
            </w:pPr>
            <w:r>
              <w:rPr>
                <w:color w:val="auto"/>
              </w:rPr>
              <w:t>Why does ‘Word 2’ have a capital ‘W’?</w:t>
            </w:r>
          </w:p>
        </w:tc>
      </w:tr>
      <w:tr w:rsidR="00EC0DD6" w:rsidTr="00652B99">
        <w:trPr>
          <w:cnfStyle w:val="000000100000"/>
        </w:trPr>
        <w:tc>
          <w:tcPr>
            <w:cnfStyle w:val="001000000000"/>
            <w:tcW w:w="1668" w:type="dxa"/>
          </w:tcPr>
          <w:p w:rsidR="00EC0DD6" w:rsidRDefault="00EC0DD6" w:rsidP="00EC0DD6">
            <w:r>
              <w:t>§1.5 ¶7</w:t>
            </w:r>
          </w:p>
        </w:tc>
        <w:tc>
          <w:tcPr>
            <w:tcW w:w="7574" w:type="dxa"/>
          </w:tcPr>
          <w:p w:rsidR="00EC0DD6" w:rsidRPr="00967828" w:rsidRDefault="00EC0DD6" w:rsidP="00EC0DD6">
            <w:pPr>
              <w:cnfStyle w:val="000000100000"/>
              <w:rPr>
                <w:color w:val="auto"/>
              </w:rPr>
            </w:pPr>
            <w:r>
              <w:rPr>
                <w:color w:val="auto"/>
              </w:rPr>
              <w:t>Why does ‘Load’ have a capital ‘L’?</w:t>
            </w:r>
          </w:p>
        </w:tc>
      </w:tr>
      <w:tr w:rsidR="008E624C" w:rsidTr="00652B99">
        <w:tc>
          <w:tcPr>
            <w:cnfStyle w:val="001000000000"/>
            <w:tcW w:w="1668" w:type="dxa"/>
          </w:tcPr>
          <w:p w:rsidR="008E624C" w:rsidRDefault="008E624C" w:rsidP="00A66EDF">
            <w:r>
              <w:t>§1.6 ¶1</w:t>
            </w:r>
          </w:p>
        </w:tc>
        <w:tc>
          <w:tcPr>
            <w:tcW w:w="7574" w:type="dxa"/>
          </w:tcPr>
          <w:p w:rsidR="008E624C" w:rsidRPr="00967828" w:rsidRDefault="008E624C" w:rsidP="00A66EDF">
            <w:pPr>
              <w:cnfStyle w:val="000000000000"/>
              <w:rPr>
                <w:color w:val="auto"/>
              </w:rPr>
            </w:pPr>
            <w:r>
              <w:rPr>
                <w:color w:val="auto"/>
              </w:rPr>
              <w:t>The last instance of ‘parts’ should be removed.</w:t>
            </w:r>
          </w:p>
        </w:tc>
      </w:tr>
      <w:tr w:rsidR="008E624C" w:rsidTr="00652B99">
        <w:trPr>
          <w:cnfStyle w:val="000000100000"/>
        </w:trPr>
        <w:tc>
          <w:tcPr>
            <w:cnfStyle w:val="001000000000"/>
            <w:tcW w:w="1668" w:type="dxa"/>
          </w:tcPr>
          <w:p w:rsidR="008E624C" w:rsidRDefault="008E624C" w:rsidP="00C11F16">
            <w:r>
              <w:t>§1.6 ¶2</w:t>
            </w:r>
          </w:p>
        </w:tc>
        <w:tc>
          <w:tcPr>
            <w:tcW w:w="7574" w:type="dxa"/>
          </w:tcPr>
          <w:p w:rsidR="008E624C" w:rsidRPr="00967828" w:rsidRDefault="008E624C" w:rsidP="006B1275">
            <w:pPr>
              <w:cnfStyle w:val="000000100000"/>
              <w:rPr>
                <w:color w:val="auto"/>
              </w:rPr>
            </w:pPr>
            <w:r>
              <w:rPr>
                <w:color w:val="auto"/>
              </w:rPr>
              <w:t>For consistency, ‘batch files’ should ‘Batch Parts’.</w:t>
            </w:r>
          </w:p>
        </w:tc>
      </w:tr>
      <w:tr w:rsidR="008E624C" w:rsidTr="00652B99">
        <w:tc>
          <w:tcPr>
            <w:cnfStyle w:val="001000000000"/>
            <w:tcW w:w="1668" w:type="dxa"/>
          </w:tcPr>
          <w:p w:rsidR="008E624C" w:rsidRDefault="008E624C" w:rsidP="00A66EDF">
            <w:r>
              <w:t>§1.6 ¶2</w:t>
            </w:r>
          </w:p>
        </w:tc>
        <w:tc>
          <w:tcPr>
            <w:tcW w:w="7574" w:type="dxa"/>
          </w:tcPr>
          <w:p w:rsidR="008E624C" w:rsidRPr="00967828" w:rsidRDefault="008E624C" w:rsidP="00C11F16">
            <w:pPr>
              <w:cnfStyle w:val="000000000000"/>
              <w:rPr>
                <w:color w:val="auto"/>
              </w:rPr>
            </w:pPr>
            <w:r>
              <w:rPr>
                <w:color w:val="auto"/>
              </w:rPr>
              <w:t xml:space="preserve"> The clause ‘loadable software’ should be removed.</w:t>
            </w:r>
          </w:p>
        </w:tc>
      </w:tr>
      <w:tr w:rsidR="008E624C" w:rsidTr="00652B99">
        <w:trPr>
          <w:cnfStyle w:val="000000100000"/>
        </w:trPr>
        <w:tc>
          <w:tcPr>
            <w:cnfStyle w:val="001000000000"/>
            <w:tcW w:w="1668" w:type="dxa"/>
          </w:tcPr>
          <w:p w:rsidR="008E624C" w:rsidRDefault="008E624C" w:rsidP="008E624C">
            <w:r>
              <w:t>§1.6 ¶3</w:t>
            </w:r>
          </w:p>
        </w:tc>
        <w:tc>
          <w:tcPr>
            <w:tcW w:w="7574" w:type="dxa"/>
          </w:tcPr>
          <w:p w:rsidR="008E624C" w:rsidRPr="00967828" w:rsidRDefault="008E624C" w:rsidP="008E624C">
            <w:pPr>
              <w:cnfStyle w:val="000000100000"/>
              <w:rPr>
                <w:color w:val="auto"/>
              </w:rPr>
            </w:pPr>
            <w:r>
              <w:rPr>
                <w:color w:val="auto"/>
              </w:rPr>
              <w:t xml:space="preserve"> ‘</w:t>
            </w:r>
            <w:proofErr w:type="gramStart"/>
            <w:r>
              <w:rPr>
                <w:color w:val="auto"/>
              </w:rPr>
              <w:t>parts</w:t>
            </w:r>
            <w:proofErr w:type="gramEnd"/>
            <w:r>
              <w:rPr>
                <w:color w:val="auto"/>
              </w:rPr>
              <w:t xml:space="preserve"> received are exactly that’ should be ‘</w:t>
            </w:r>
            <w:r w:rsidRPr="008E624C">
              <w:rPr>
                <w:b/>
                <w:color w:val="auto"/>
              </w:rPr>
              <w:t>that the</w:t>
            </w:r>
            <w:r>
              <w:rPr>
                <w:color w:val="auto"/>
              </w:rPr>
              <w:t xml:space="preserve"> parts received are exactly </w:t>
            </w:r>
            <w:r w:rsidRPr="008E624C">
              <w:rPr>
                <w:b/>
                <w:color w:val="auto"/>
              </w:rPr>
              <w:t>those</w:t>
            </w:r>
            <w:r>
              <w:rPr>
                <w:color w:val="auto"/>
              </w:rPr>
              <w:t>’.</w:t>
            </w:r>
          </w:p>
        </w:tc>
      </w:tr>
      <w:tr w:rsidR="008E624C" w:rsidTr="00652B99">
        <w:tc>
          <w:tcPr>
            <w:cnfStyle w:val="001000000000"/>
            <w:tcW w:w="1668" w:type="dxa"/>
          </w:tcPr>
          <w:p w:rsidR="008E624C" w:rsidRDefault="00C02C29" w:rsidP="00C553DA">
            <w:r>
              <w:t>§1.6 ¶4</w:t>
            </w:r>
          </w:p>
        </w:tc>
        <w:tc>
          <w:tcPr>
            <w:tcW w:w="7574" w:type="dxa"/>
          </w:tcPr>
          <w:p w:rsidR="008E624C" w:rsidRPr="00967828" w:rsidRDefault="00C02C29" w:rsidP="00C02C29">
            <w:pPr>
              <w:cnfStyle w:val="000000000000"/>
              <w:rPr>
                <w:color w:val="auto"/>
              </w:rPr>
            </w:pPr>
            <w:r>
              <w:rPr>
                <w:color w:val="auto"/>
              </w:rPr>
              <w:t>For consistency, ‘Media Sets’ should ‘MSPs’.</w:t>
            </w:r>
          </w:p>
        </w:tc>
      </w:tr>
      <w:tr w:rsidR="00C02C29" w:rsidTr="00652B99">
        <w:trPr>
          <w:cnfStyle w:val="000000100000"/>
        </w:trPr>
        <w:tc>
          <w:tcPr>
            <w:cnfStyle w:val="001000000000"/>
            <w:tcW w:w="1668" w:type="dxa"/>
          </w:tcPr>
          <w:p w:rsidR="00C02C29" w:rsidRDefault="00C02C29" w:rsidP="00C02C29">
            <w:r>
              <w:t>§1.6 ¶4</w:t>
            </w:r>
          </w:p>
        </w:tc>
        <w:tc>
          <w:tcPr>
            <w:tcW w:w="7574" w:type="dxa"/>
          </w:tcPr>
          <w:p w:rsidR="00C02C29" w:rsidRPr="00967828" w:rsidRDefault="00C02C29" w:rsidP="00C02C29">
            <w:pPr>
              <w:cnfStyle w:val="000000100000"/>
              <w:rPr>
                <w:color w:val="auto"/>
              </w:rPr>
            </w:pPr>
            <w:r>
              <w:rPr>
                <w:color w:val="auto"/>
              </w:rPr>
              <w:t>Why does ‘Part’ have a capital ‘P’?</w:t>
            </w:r>
          </w:p>
        </w:tc>
      </w:tr>
      <w:tr w:rsidR="009D28D8" w:rsidTr="00652B99">
        <w:tc>
          <w:tcPr>
            <w:cnfStyle w:val="001000000000"/>
            <w:tcW w:w="1668" w:type="dxa"/>
          </w:tcPr>
          <w:p w:rsidR="009D28D8" w:rsidRDefault="009D28D8" w:rsidP="009D28D8">
            <w:r>
              <w:t>§2.1 ¶2</w:t>
            </w:r>
          </w:p>
        </w:tc>
        <w:tc>
          <w:tcPr>
            <w:tcW w:w="7574" w:type="dxa"/>
          </w:tcPr>
          <w:p w:rsidR="009D28D8" w:rsidRDefault="009D28D8" w:rsidP="00C02C29">
            <w:pPr>
              <w:cnfStyle w:val="000000000000"/>
            </w:pPr>
            <w:r>
              <w:t>‘</w:t>
            </w:r>
            <w:proofErr w:type="gramStart"/>
            <w:r>
              <w:t>to</w:t>
            </w:r>
            <w:proofErr w:type="gramEnd"/>
            <w:r>
              <w:t xml:space="preserve"> the part’ should be eliminated.</w:t>
            </w:r>
          </w:p>
        </w:tc>
      </w:tr>
      <w:tr w:rsidR="009D28D8" w:rsidTr="00652B99">
        <w:trPr>
          <w:cnfStyle w:val="000000100000"/>
        </w:trPr>
        <w:tc>
          <w:tcPr>
            <w:cnfStyle w:val="001000000000"/>
            <w:tcW w:w="1668" w:type="dxa"/>
          </w:tcPr>
          <w:p w:rsidR="009D28D8" w:rsidRDefault="009D28D8" w:rsidP="00A66EDF">
            <w:r>
              <w:t>§2.1 ¶2</w:t>
            </w:r>
          </w:p>
        </w:tc>
        <w:tc>
          <w:tcPr>
            <w:tcW w:w="7574" w:type="dxa"/>
          </w:tcPr>
          <w:p w:rsidR="009D28D8" w:rsidRDefault="009D28D8" w:rsidP="009D28D8">
            <w:pPr>
              <w:cnfStyle w:val="000000100000"/>
            </w:pPr>
            <w:r>
              <w:t>‘</w:t>
            </w:r>
            <w:proofErr w:type="gramStart"/>
            <w:r>
              <w:t>to</w:t>
            </w:r>
            <w:proofErr w:type="gramEnd"/>
            <w:r>
              <w:t xml:space="preserve"> the load should be eliminated.</w:t>
            </w:r>
          </w:p>
        </w:tc>
      </w:tr>
      <w:tr w:rsidR="009D28D8" w:rsidTr="00652B99">
        <w:tc>
          <w:tcPr>
            <w:cnfStyle w:val="001000000000"/>
            <w:tcW w:w="1668" w:type="dxa"/>
          </w:tcPr>
          <w:p w:rsidR="009D28D8" w:rsidRDefault="009D28D8" w:rsidP="009D28D8">
            <w:r>
              <w:t>§2.1.1 ¶4</w:t>
            </w:r>
          </w:p>
        </w:tc>
        <w:tc>
          <w:tcPr>
            <w:tcW w:w="7574" w:type="dxa"/>
          </w:tcPr>
          <w:p w:rsidR="009D28D8" w:rsidRDefault="009D28D8" w:rsidP="00A66EDF">
            <w:pPr>
              <w:cnfStyle w:val="000000000000"/>
            </w:pPr>
            <w:r>
              <w:t>‘</w:t>
            </w:r>
            <w:proofErr w:type="gramStart"/>
            <w:r>
              <w:t>alpha</w:t>
            </w:r>
            <w:proofErr w:type="gramEnd"/>
            <w:r>
              <w:t xml:space="preserve"> characters’ should be ‘the letters’.</w:t>
            </w:r>
          </w:p>
        </w:tc>
      </w:tr>
      <w:tr w:rsidR="009D28D8" w:rsidTr="00652B99">
        <w:trPr>
          <w:cnfStyle w:val="000000100000"/>
        </w:trPr>
        <w:tc>
          <w:tcPr>
            <w:cnfStyle w:val="001000000000"/>
            <w:tcW w:w="1668" w:type="dxa"/>
          </w:tcPr>
          <w:p w:rsidR="009D28D8" w:rsidRDefault="009D28D8" w:rsidP="00A66EDF">
            <w:r>
              <w:t>§2.1.1 ¶4</w:t>
            </w:r>
          </w:p>
        </w:tc>
        <w:tc>
          <w:tcPr>
            <w:tcW w:w="7574" w:type="dxa"/>
          </w:tcPr>
          <w:p w:rsidR="009D28D8" w:rsidRDefault="009D28D8" w:rsidP="00A66EDF">
            <w:pPr>
              <w:cnfStyle w:val="000000100000"/>
            </w:pPr>
            <w:r>
              <w:t>The last sentence applies to the whole PN (not just the supplier code) and should be a separate paragraph.</w:t>
            </w:r>
          </w:p>
        </w:tc>
      </w:tr>
      <w:tr w:rsidR="00F34A7D" w:rsidTr="00652B99">
        <w:tc>
          <w:tcPr>
            <w:cnfStyle w:val="001000000000"/>
            <w:tcW w:w="1668" w:type="dxa"/>
          </w:tcPr>
          <w:p w:rsidR="00F34A7D" w:rsidRDefault="00F34A7D" w:rsidP="00F34A7D">
            <w:r>
              <w:t>§2.1.1 ¶8</w:t>
            </w:r>
          </w:p>
        </w:tc>
        <w:tc>
          <w:tcPr>
            <w:tcW w:w="7574" w:type="dxa"/>
          </w:tcPr>
          <w:p w:rsidR="00F34A7D" w:rsidRDefault="00F34A7D" w:rsidP="00F34A7D">
            <w:pPr>
              <w:cnfStyle w:val="000000000000"/>
            </w:pPr>
            <w:r>
              <w:rPr>
                <w:color w:val="auto"/>
              </w:rPr>
              <w:t>Why does ‘Alphabetic’ have a capital ‘A’?</w:t>
            </w:r>
          </w:p>
        </w:tc>
      </w:tr>
      <w:tr w:rsidR="00F713D7" w:rsidTr="00652B99">
        <w:trPr>
          <w:cnfStyle w:val="000000100000"/>
        </w:trPr>
        <w:tc>
          <w:tcPr>
            <w:cnfStyle w:val="001000000000"/>
            <w:tcW w:w="1668" w:type="dxa"/>
          </w:tcPr>
          <w:p w:rsidR="00F713D7" w:rsidRDefault="00F713D7" w:rsidP="00F713D7">
            <w:r>
              <w:t>§2.2.1 ¶2</w:t>
            </w:r>
          </w:p>
        </w:tc>
        <w:tc>
          <w:tcPr>
            <w:tcW w:w="7574" w:type="dxa"/>
          </w:tcPr>
          <w:p w:rsidR="00F713D7" w:rsidRPr="00D441E7" w:rsidRDefault="00D441E7" w:rsidP="00D441E7">
            <w:pPr>
              <w:cnfStyle w:val="000000100000"/>
              <w:rPr>
                <w:color w:val="0070C0"/>
                <w:highlight w:val="yellow"/>
              </w:rPr>
            </w:pPr>
            <w:r w:rsidRPr="00D441E7">
              <w:rPr>
                <w:color w:val="0070C0"/>
              </w:rPr>
              <w:t>This conflicts with section 2.2.3.2 which allows bytes.</w:t>
            </w:r>
          </w:p>
        </w:tc>
      </w:tr>
      <w:tr w:rsidR="00E56613" w:rsidTr="00652B99">
        <w:tc>
          <w:tcPr>
            <w:cnfStyle w:val="001000000000"/>
            <w:tcW w:w="1668" w:type="dxa"/>
          </w:tcPr>
          <w:p w:rsidR="00E56613" w:rsidRDefault="00E56613" w:rsidP="00E56613">
            <w:r>
              <w:t>§2.2.1 ¶4</w:t>
            </w:r>
          </w:p>
        </w:tc>
        <w:tc>
          <w:tcPr>
            <w:tcW w:w="7574" w:type="dxa"/>
          </w:tcPr>
          <w:p w:rsidR="00E56613" w:rsidRPr="00967828" w:rsidRDefault="00E56613" w:rsidP="00E56613">
            <w:pPr>
              <w:cnfStyle w:val="000000000000"/>
              <w:rPr>
                <w:color w:val="auto"/>
              </w:rPr>
            </w:pPr>
            <w:r>
              <w:rPr>
                <w:color w:val="auto"/>
              </w:rPr>
              <w:t xml:space="preserve"> ‘</w:t>
            </w:r>
            <w:proofErr w:type="gramStart"/>
            <w:r w:rsidR="005C7F70">
              <w:rPr>
                <w:color w:val="auto"/>
              </w:rPr>
              <w:t>a</w:t>
            </w:r>
            <w:proofErr w:type="gramEnd"/>
            <w:r w:rsidR="005C7F70">
              <w:rPr>
                <w:color w:val="auto"/>
              </w:rPr>
              <w:t xml:space="preserve"> </w:t>
            </w:r>
            <w:r>
              <w:rPr>
                <w:color w:val="auto"/>
              </w:rPr>
              <w:t>Media Set Part (MSP)’ should just be ‘</w:t>
            </w:r>
            <w:r w:rsidR="005C7F70">
              <w:rPr>
                <w:color w:val="auto"/>
              </w:rPr>
              <w:t xml:space="preserve">an </w:t>
            </w:r>
            <w:r w:rsidRPr="00E56613">
              <w:rPr>
                <w:color w:val="auto"/>
              </w:rPr>
              <w:t>MSP’</w:t>
            </w:r>
            <w:r>
              <w:rPr>
                <w:color w:val="auto"/>
              </w:rPr>
              <w:t>.</w:t>
            </w:r>
          </w:p>
        </w:tc>
      </w:tr>
      <w:tr w:rsidR="00367B5C" w:rsidTr="00652B99">
        <w:trPr>
          <w:cnfStyle w:val="000000100000"/>
        </w:trPr>
        <w:tc>
          <w:tcPr>
            <w:cnfStyle w:val="001000000000"/>
            <w:tcW w:w="1668" w:type="dxa"/>
          </w:tcPr>
          <w:p w:rsidR="00367B5C" w:rsidRDefault="00367B5C" w:rsidP="00367B5C">
            <w:r>
              <w:t>§2.2.1 ¶5</w:t>
            </w:r>
          </w:p>
        </w:tc>
        <w:tc>
          <w:tcPr>
            <w:tcW w:w="7574" w:type="dxa"/>
          </w:tcPr>
          <w:p w:rsidR="00367B5C" w:rsidRPr="00967828" w:rsidRDefault="00367B5C" w:rsidP="00A66EDF">
            <w:pPr>
              <w:cnfStyle w:val="000000100000"/>
              <w:rPr>
                <w:color w:val="auto"/>
              </w:rPr>
            </w:pPr>
            <w:r>
              <w:rPr>
                <w:color w:val="auto"/>
              </w:rPr>
              <w:t>Should ‘loadable media set parts’ just be ‘MSPs’? If so what is the difference between MSP and MSP structure. The response to this comment may also influence the next paragraph.</w:t>
            </w:r>
          </w:p>
        </w:tc>
      </w:tr>
      <w:tr w:rsidR="00367B5C" w:rsidTr="00652B99">
        <w:tc>
          <w:tcPr>
            <w:cnfStyle w:val="001000000000"/>
            <w:tcW w:w="1668" w:type="dxa"/>
          </w:tcPr>
          <w:p w:rsidR="00367B5C" w:rsidRDefault="00367B5C" w:rsidP="00367B5C">
            <w:r>
              <w:t>§2.2.1 ¶11</w:t>
            </w:r>
          </w:p>
        </w:tc>
        <w:tc>
          <w:tcPr>
            <w:tcW w:w="7574" w:type="dxa"/>
          </w:tcPr>
          <w:p w:rsidR="00367B5C" w:rsidRPr="00967828" w:rsidRDefault="00367B5C" w:rsidP="00A66EDF">
            <w:pPr>
              <w:cnfStyle w:val="000000000000"/>
              <w:rPr>
                <w:color w:val="auto"/>
              </w:rPr>
            </w:pPr>
            <w:r>
              <w:rPr>
                <w:color w:val="auto"/>
              </w:rPr>
              <w:t>This paragraph should be merged with paragraph one which already discusses case sensitivity.</w:t>
            </w:r>
          </w:p>
        </w:tc>
      </w:tr>
      <w:tr w:rsidR="00367B5C" w:rsidTr="00652B99">
        <w:trPr>
          <w:cnfStyle w:val="000000100000"/>
        </w:trPr>
        <w:tc>
          <w:tcPr>
            <w:cnfStyle w:val="001000000000"/>
            <w:tcW w:w="1668" w:type="dxa"/>
          </w:tcPr>
          <w:p w:rsidR="00367B5C" w:rsidRDefault="00A66EDF" w:rsidP="009D28D8">
            <w:r>
              <w:t>§2.2.2 ¶1</w:t>
            </w:r>
          </w:p>
        </w:tc>
        <w:tc>
          <w:tcPr>
            <w:tcW w:w="7574" w:type="dxa"/>
          </w:tcPr>
          <w:p w:rsidR="00367B5C" w:rsidRDefault="003A7A5E" w:rsidP="003A7A5E">
            <w:pPr>
              <w:cnfStyle w:val="000000100000"/>
            </w:pPr>
            <w:r>
              <w:rPr>
                <w:color w:val="auto"/>
              </w:rPr>
              <w:t>Why does ‘File’ have a capital ‘F’?</w:t>
            </w:r>
          </w:p>
        </w:tc>
      </w:tr>
      <w:tr w:rsidR="00991C2A" w:rsidTr="00652B99">
        <w:tc>
          <w:tcPr>
            <w:cnfStyle w:val="001000000000"/>
            <w:tcW w:w="1668" w:type="dxa"/>
          </w:tcPr>
          <w:p w:rsidR="00991C2A" w:rsidRDefault="00991C2A" w:rsidP="00991C2A">
            <w:r>
              <w:t>§2.2.2 ¶2</w:t>
            </w:r>
          </w:p>
        </w:tc>
        <w:tc>
          <w:tcPr>
            <w:tcW w:w="7574" w:type="dxa"/>
          </w:tcPr>
          <w:p w:rsidR="00991C2A" w:rsidRDefault="00991C2A" w:rsidP="00991C2A">
            <w:pPr>
              <w:cnfStyle w:val="000000000000"/>
            </w:pPr>
            <w:r>
              <w:rPr>
                <w:color w:val="auto"/>
              </w:rPr>
              <w:t>For consistency, ‘Header filename’ should be ‘</w:t>
            </w:r>
            <w:r w:rsidRPr="00991C2A">
              <w:rPr>
                <w:vanish/>
                <w:color w:val="auto"/>
              </w:rPr>
              <w:t>Header</w:t>
            </w:r>
            <w:r w:rsidRPr="00991C2A">
              <w:rPr>
                <w:color w:val="auto"/>
              </w:rPr>
              <w:t xml:space="preserve"> </w:t>
            </w:r>
            <w:r w:rsidRPr="0009404A">
              <w:rPr>
                <w:b/>
                <w:color w:val="auto"/>
              </w:rPr>
              <w:t>F</w:t>
            </w:r>
            <w:r>
              <w:rPr>
                <w:color w:val="auto"/>
              </w:rPr>
              <w:t>ile name’.</w:t>
            </w:r>
          </w:p>
        </w:tc>
      </w:tr>
      <w:tr w:rsidR="00991C2A" w:rsidTr="00652B99">
        <w:trPr>
          <w:cnfStyle w:val="000000100000"/>
        </w:trPr>
        <w:tc>
          <w:tcPr>
            <w:cnfStyle w:val="001000000000"/>
            <w:tcW w:w="1668" w:type="dxa"/>
          </w:tcPr>
          <w:p w:rsidR="00991C2A" w:rsidRDefault="00991C2A" w:rsidP="003A7A5E">
            <w:r>
              <w:t>§2.2.2 ¶2</w:t>
            </w:r>
          </w:p>
        </w:tc>
        <w:tc>
          <w:tcPr>
            <w:tcW w:w="7574" w:type="dxa"/>
          </w:tcPr>
          <w:p w:rsidR="00991C2A" w:rsidRDefault="00991C2A" w:rsidP="003A7A5E">
            <w:pPr>
              <w:cnfStyle w:val="000000100000"/>
            </w:pPr>
            <w:r>
              <w:rPr>
                <w:color w:val="auto"/>
              </w:rPr>
              <w:t xml:space="preserve"> ‘</w:t>
            </w:r>
            <w:proofErr w:type="gramStart"/>
            <w:r>
              <w:rPr>
                <w:color w:val="auto"/>
              </w:rPr>
              <w:t>creator</w:t>
            </w:r>
            <w:proofErr w:type="gramEnd"/>
            <w:r>
              <w:rPr>
                <w:color w:val="auto"/>
              </w:rPr>
              <w:t xml:space="preserve"> file’ should be ‘</w:t>
            </w:r>
            <w:r w:rsidRPr="003A7A5E">
              <w:rPr>
                <w:color w:val="auto"/>
              </w:rPr>
              <w:t>creator</w:t>
            </w:r>
            <w:r>
              <w:rPr>
                <w:b/>
                <w:color w:val="auto"/>
              </w:rPr>
              <w:t xml:space="preserve"> of the</w:t>
            </w:r>
            <w:r w:rsidRPr="003A7A5E">
              <w:rPr>
                <w:color w:val="auto"/>
              </w:rPr>
              <w:t xml:space="preserve"> file</w:t>
            </w:r>
            <w:r>
              <w:rPr>
                <w:color w:val="auto"/>
              </w:rPr>
              <w:t>’.</w:t>
            </w:r>
          </w:p>
        </w:tc>
      </w:tr>
      <w:tr w:rsidR="00EA660F" w:rsidTr="00652B99">
        <w:tc>
          <w:tcPr>
            <w:cnfStyle w:val="001000000000"/>
            <w:tcW w:w="1668" w:type="dxa"/>
          </w:tcPr>
          <w:p w:rsidR="00EA660F" w:rsidRDefault="00EA660F" w:rsidP="00EA660F">
            <w:r>
              <w:t>§2.2.2 ¶5</w:t>
            </w:r>
          </w:p>
        </w:tc>
        <w:tc>
          <w:tcPr>
            <w:tcW w:w="7574" w:type="dxa"/>
          </w:tcPr>
          <w:p w:rsidR="00EA660F" w:rsidRPr="00EA660F" w:rsidRDefault="00EA660F" w:rsidP="00F91722">
            <w:pPr>
              <w:cnfStyle w:val="000000000000"/>
              <w:rPr>
                <w:color w:val="0070C0"/>
              </w:rPr>
            </w:pPr>
            <w:r w:rsidRPr="00EA660F">
              <w:rPr>
                <w:color w:val="0070C0"/>
              </w:rPr>
              <w:t xml:space="preserve">Should the use of ‘Z’ also be prohibited as in section 2.1.1? Presumably lower case </w:t>
            </w:r>
            <w:proofErr w:type="spellStart"/>
            <w:r w:rsidRPr="00EA660F">
              <w:rPr>
                <w:color w:val="0070C0"/>
              </w:rPr>
              <w:t>i</w:t>
            </w:r>
            <w:proofErr w:type="spellEnd"/>
            <w:r w:rsidRPr="00EA660F">
              <w:rPr>
                <w:color w:val="0070C0"/>
              </w:rPr>
              <w:t>, o and q are not prohibited</w:t>
            </w:r>
            <w:r w:rsidR="00C109C0">
              <w:rPr>
                <w:color w:val="0070C0"/>
              </w:rPr>
              <w:t xml:space="preserve"> as is implied here</w:t>
            </w:r>
            <w:r w:rsidRPr="00EA660F">
              <w:rPr>
                <w:color w:val="0070C0"/>
              </w:rPr>
              <w:t>?</w:t>
            </w:r>
          </w:p>
        </w:tc>
      </w:tr>
      <w:tr w:rsidR="00EA660F" w:rsidTr="00652B99">
        <w:trPr>
          <w:cnfStyle w:val="000000100000"/>
        </w:trPr>
        <w:tc>
          <w:tcPr>
            <w:cnfStyle w:val="001000000000"/>
            <w:tcW w:w="1668" w:type="dxa"/>
          </w:tcPr>
          <w:p w:rsidR="00EA660F" w:rsidRDefault="00EA660F" w:rsidP="00EA660F">
            <w:r>
              <w:t>§2.2.2 ¶5</w:t>
            </w:r>
          </w:p>
        </w:tc>
        <w:tc>
          <w:tcPr>
            <w:tcW w:w="7574" w:type="dxa"/>
          </w:tcPr>
          <w:p w:rsidR="00EA660F" w:rsidRDefault="00EA660F" w:rsidP="00EA660F">
            <w:pPr>
              <w:cnfStyle w:val="000000100000"/>
            </w:pPr>
            <w:r>
              <w:rPr>
                <w:color w:val="auto"/>
              </w:rPr>
              <w:t xml:space="preserve">The letters are not ‘English’ (as I’m sure our colleagues from Airbus and </w:t>
            </w:r>
            <w:proofErr w:type="spellStart"/>
            <w:r>
              <w:rPr>
                <w:color w:val="auto"/>
              </w:rPr>
              <w:t>Saffran</w:t>
            </w:r>
            <w:proofErr w:type="spellEnd"/>
            <w:r>
              <w:rPr>
                <w:color w:val="auto"/>
              </w:rPr>
              <w:t xml:space="preserve"> would point out).</w:t>
            </w:r>
          </w:p>
        </w:tc>
      </w:tr>
      <w:tr w:rsidR="00EA660F" w:rsidTr="00652B99">
        <w:tc>
          <w:tcPr>
            <w:cnfStyle w:val="001000000000"/>
            <w:tcW w:w="1668" w:type="dxa"/>
          </w:tcPr>
          <w:p w:rsidR="00EA660F" w:rsidRDefault="00EA660F" w:rsidP="00EA660F">
            <w:r>
              <w:t>§2.2.2 ¶6</w:t>
            </w:r>
          </w:p>
        </w:tc>
        <w:tc>
          <w:tcPr>
            <w:tcW w:w="7574" w:type="dxa"/>
          </w:tcPr>
          <w:p w:rsidR="00EA660F" w:rsidRPr="00EA660F" w:rsidRDefault="00EA660F" w:rsidP="00F91722">
            <w:pPr>
              <w:cnfStyle w:val="000000000000"/>
              <w:rPr>
                <w:color w:val="0070C0"/>
              </w:rPr>
            </w:pPr>
            <w:r w:rsidRPr="00EA660F">
              <w:rPr>
                <w:color w:val="0070C0"/>
              </w:rPr>
              <w:t>ARINC 838 adds further restrictions on allowed characters. Why should ARINC 665 be different?</w:t>
            </w:r>
          </w:p>
        </w:tc>
      </w:tr>
      <w:tr w:rsidR="00EA660F" w:rsidTr="00652B99">
        <w:trPr>
          <w:cnfStyle w:val="000000100000"/>
        </w:trPr>
        <w:tc>
          <w:tcPr>
            <w:cnfStyle w:val="001000000000"/>
            <w:tcW w:w="1668" w:type="dxa"/>
          </w:tcPr>
          <w:p w:rsidR="00EA660F" w:rsidRDefault="009C022C" w:rsidP="009D28D8">
            <w:r>
              <w:t>§2.2.2 ¶8</w:t>
            </w:r>
          </w:p>
        </w:tc>
        <w:tc>
          <w:tcPr>
            <w:tcW w:w="7574" w:type="dxa"/>
          </w:tcPr>
          <w:p w:rsidR="00EA660F" w:rsidRPr="009C022C" w:rsidRDefault="009C022C" w:rsidP="00F54E9B">
            <w:pPr>
              <w:cnfStyle w:val="000000100000"/>
              <w:rPr>
                <w:color w:val="0070C0"/>
              </w:rPr>
            </w:pPr>
            <w:r w:rsidRPr="009C022C">
              <w:rPr>
                <w:color w:val="0070C0"/>
              </w:rPr>
              <w:t>Why is this restriction required? It seems quite draconian.</w:t>
            </w:r>
            <w:r w:rsidR="007E6CA9">
              <w:rPr>
                <w:color w:val="0070C0"/>
              </w:rPr>
              <w:t xml:space="preserve"> If this restriction is to exist, then the commentar</w:t>
            </w:r>
            <w:r w:rsidR="00B50872">
              <w:rPr>
                <w:color w:val="0070C0"/>
              </w:rPr>
              <w:t>ies</w:t>
            </w:r>
            <w:r w:rsidR="007E6CA9">
              <w:rPr>
                <w:color w:val="0070C0"/>
              </w:rPr>
              <w:t xml:space="preserve"> in section 2.2</w:t>
            </w:r>
            <w:r w:rsidR="000C1DEB">
              <w:rPr>
                <w:color w:val="0070C0"/>
              </w:rPr>
              <w:t>.</w:t>
            </w:r>
            <w:r w:rsidR="007E6CA9">
              <w:rPr>
                <w:color w:val="0070C0"/>
              </w:rPr>
              <w:t xml:space="preserve">3.1.34 </w:t>
            </w:r>
            <w:r w:rsidR="00B50872">
              <w:rPr>
                <w:color w:val="0070C0"/>
              </w:rPr>
              <w:t>and 2.2.3.1.4</w:t>
            </w:r>
            <w:r w:rsidR="00F54E9B">
              <w:rPr>
                <w:color w:val="0070C0"/>
              </w:rPr>
              <w:t>7</w:t>
            </w:r>
            <w:r w:rsidR="00B50872">
              <w:rPr>
                <w:color w:val="0070C0"/>
              </w:rPr>
              <w:t xml:space="preserve"> have</w:t>
            </w:r>
            <w:r w:rsidR="007E6CA9">
              <w:rPr>
                <w:color w:val="0070C0"/>
              </w:rPr>
              <w:t xml:space="preserve"> become superfluous because file names are required to be unique across all LSPs (never mind with </w:t>
            </w:r>
            <w:r w:rsidR="00B50872">
              <w:rPr>
                <w:color w:val="0070C0"/>
              </w:rPr>
              <w:t xml:space="preserve">within </w:t>
            </w:r>
            <w:r w:rsidR="007E6CA9">
              <w:rPr>
                <w:color w:val="0070C0"/>
              </w:rPr>
              <w:t>an LSP).</w:t>
            </w:r>
          </w:p>
        </w:tc>
      </w:tr>
      <w:tr w:rsidR="00FE5803" w:rsidTr="00652B99">
        <w:tc>
          <w:tcPr>
            <w:cnfStyle w:val="001000000000"/>
            <w:tcW w:w="1668" w:type="dxa"/>
          </w:tcPr>
          <w:p w:rsidR="00FE5803" w:rsidRDefault="00FE5803" w:rsidP="009D28D8">
            <w:r>
              <w:t>§2.2.2.1</w:t>
            </w:r>
            <w:r w:rsidR="00D557B9">
              <w:t xml:space="preserve"> ¶1</w:t>
            </w:r>
          </w:p>
        </w:tc>
        <w:tc>
          <w:tcPr>
            <w:tcW w:w="7574" w:type="dxa"/>
          </w:tcPr>
          <w:p w:rsidR="00FE5803" w:rsidRPr="00FE5803" w:rsidRDefault="00FE5803" w:rsidP="00C02C29">
            <w:pPr>
              <w:cnfStyle w:val="000000000000"/>
              <w:rPr>
                <w:color w:val="auto"/>
              </w:rPr>
            </w:pPr>
            <w:r w:rsidRPr="00FE5803">
              <w:rPr>
                <w:color w:val="auto"/>
              </w:rPr>
              <w:t>‘Filename Extension’ should be ‘File name extension’.</w:t>
            </w:r>
          </w:p>
        </w:tc>
      </w:tr>
      <w:tr w:rsidR="00D557B9" w:rsidTr="00652B99">
        <w:trPr>
          <w:cnfStyle w:val="000000100000"/>
        </w:trPr>
        <w:tc>
          <w:tcPr>
            <w:cnfStyle w:val="001000000000"/>
            <w:tcW w:w="1668" w:type="dxa"/>
          </w:tcPr>
          <w:p w:rsidR="00D557B9" w:rsidRDefault="00D557B9" w:rsidP="00F91722">
            <w:r>
              <w:t>§2.2.2.2 ¶1</w:t>
            </w:r>
          </w:p>
        </w:tc>
        <w:tc>
          <w:tcPr>
            <w:tcW w:w="7574" w:type="dxa"/>
          </w:tcPr>
          <w:p w:rsidR="00D557B9" w:rsidRPr="00FE5803" w:rsidRDefault="00D557B9" w:rsidP="00D557B9">
            <w:pPr>
              <w:cnfStyle w:val="000000100000"/>
              <w:rPr>
                <w:color w:val="auto"/>
              </w:rPr>
            </w:pPr>
            <w:r>
              <w:rPr>
                <w:color w:val="auto"/>
              </w:rPr>
              <w:t>Why does ‘Name’ have a capital ‘N’?</w:t>
            </w:r>
          </w:p>
        </w:tc>
      </w:tr>
      <w:tr w:rsidR="00D557B9" w:rsidTr="00652B99">
        <w:tc>
          <w:tcPr>
            <w:cnfStyle w:val="001000000000"/>
            <w:tcW w:w="1668" w:type="dxa"/>
          </w:tcPr>
          <w:p w:rsidR="00D557B9" w:rsidRDefault="00D557B9" w:rsidP="00D557B9">
            <w:r>
              <w:t>§2.2.2.3</w:t>
            </w:r>
          </w:p>
        </w:tc>
        <w:tc>
          <w:tcPr>
            <w:tcW w:w="7574" w:type="dxa"/>
          </w:tcPr>
          <w:p w:rsidR="00D557B9" w:rsidRPr="00FE5803" w:rsidRDefault="00D557B9" w:rsidP="00F91722">
            <w:pPr>
              <w:cnfStyle w:val="000000000000"/>
              <w:rPr>
                <w:color w:val="auto"/>
              </w:rPr>
            </w:pPr>
            <w:r>
              <w:rPr>
                <w:color w:val="auto"/>
              </w:rPr>
              <w:t xml:space="preserve">For consistency, heading should have </w:t>
            </w:r>
            <w:proofErr w:type="gramStart"/>
            <w:r>
              <w:rPr>
                <w:color w:val="auto"/>
              </w:rPr>
              <w:t>no ‘s’</w:t>
            </w:r>
            <w:proofErr w:type="gramEnd"/>
            <w:r>
              <w:rPr>
                <w:color w:val="auto"/>
              </w:rPr>
              <w:t>.</w:t>
            </w:r>
          </w:p>
        </w:tc>
      </w:tr>
      <w:tr w:rsidR="00D557B9" w:rsidTr="00652B99">
        <w:trPr>
          <w:cnfStyle w:val="000000100000"/>
        </w:trPr>
        <w:tc>
          <w:tcPr>
            <w:cnfStyle w:val="001000000000"/>
            <w:tcW w:w="1668" w:type="dxa"/>
          </w:tcPr>
          <w:p w:rsidR="00D557B9" w:rsidRDefault="00D557B9" w:rsidP="00F91722">
            <w:r>
              <w:t>§2.2.2.3 ¶1</w:t>
            </w:r>
          </w:p>
        </w:tc>
        <w:tc>
          <w:tcPr>
            <w:tcW w:w="7574" w:type="dxa"/>
          </w:tcPr>
          <w:p w:rsidR="00D557B9" w:rsidRPr="00FE5803" w:rsidRDefault="00D557B9" w:rsidP="00F91722">
            <w:pPr>
              <w:cnfStyle w:val="000000100000"/>
              <w:rPr>
                <w:color w:val="auto"/>
              </w:rPr>
            </w:pPr>
            <w:r>
              <w:rPr>
                <w:color w:val="auto"/>
              </w:rPr>
              <w:t>Eliminate ‘named’.</w:t>
            </w:r>
          </w:p>
        </w:tc>
      </w:tr>
      <w:tr w:rsidR="00D557B9" w:rsidRPr="00010051" w:rsidTr="00652B99">
        <w:tc>
          <w:tcPr>
            <w:cnfStyle w:val="001000000000"/>
            <w:tcW w:w="1668" w:type="dxa"/>
          </w:tcPr>
          <w:p w:rsidR="00D557B9" w:rsidRDefault="00010051" w:rsidP="00CD0532">
            <w:r>
              <w:t>Table 2.2.3</w:t>
            </w:r>
            <w:r w:rsidR="00CD0532">
              <w:t>-</w:t>
            </w:r>
            <w:r>
              <w:t>1</w:t>
            </w:r>
          </w:p>
        </w:tc>
        <w:tc>
          <w:tcPr>
            <w:tcW w:w="7574" w:type="dxa"/>
          </w:tcPr>
          <w:p w:rsidR="00D557B9" w:rsidRPr="00010051" w:rsidRDefault="00010051" w:rsidP="00C02C29">
            <w:pPr>
              <w:cnfStyle w:val="000000000000"/>
              <w:rPr>
                <w:color w:val="0070C0"/>
              </w:rPr>
            </w:pPr>
            <w:r w:rsidRPr="00010051">
              <w:rPr>
                <w:color w:val="0070C0"/>
              </w:rPr>
              <w:t xml:space="preserve">What is the point of ‘Expansion Point </w:t>
            </w:r>
            <w:proofErr w:type="gramStart"/>
            <w:r w:rsidRPr="00010051">
              <w:rPr>
                <w:color w:val="0070C0"/>
              </w:rPr>
              <w:t>No.</w:t>
            </w:r>
            <w:proofErr w:type="gramEnd"/>
            <w:r w:rsidRPr="00010051">
              <w:rPr>
                <w:color w:val="0070C0"/>
              </w:rPr>
              <w:t xml:space="preserve"> []’? There is no explanation concerning it.</w:t>
            </w:r>
          </w:p>
        </w:tc>
      </w:tr>
      <w:tr w:rsidR="00F91722" w:rsidTr="00652B99">
        <w:trPr>
          <w:cnfStyle w:val="000000100000"/>
        </w:trPr>
        <w:tc>
          <w:tcPr>
            <w:cnfStyle w:val="001000000000"/>
            <w:tcW w:w="1668" w:type="dxa"/>
          </w:tcPr>
          <w:p w:rsidR="00F91722" w:rsidRDefault="00F91722" w:rsidP="00CD0532">
            <w:r>
              <w:t>Table 2.2.3</w:t>
            </w:r>
            <w:r w:rsidR="00CD0532">
              <w:t>-</w:t>
            </w:r>
            <w:r>
              <w:t>1</w:t>
            </w:r>
          </w:p>
        </w:tc>
        <w:tc>
          <w:tcPr>
            <w:tcW w:w="7574" w:type="dxa"/>
          </w:tcPr>
          <w:p w:rsidR="00F91722" w:rsidRPr="00F91722" w:rsidRDefault="00F91722" w:rsidP="00F91722">
            <w:pPr>
              <w:cnfStyle w:val="000000100000"/>
              <w:rPr>
                <w:color w:val="auto"/>
              </w:rPr>
            </w:pPr>
            <w:r>
              <w:rPr>
                <w:color w:val="auto"/>
              </w:rPr>
              <w:t>Why is the ‘Field Size’ description for ‘User Defined Data’ different to other fields of variable width (e.g. ‘Support File PN’)?</w:t>
            </w:r>
          </w:p>
        </w:tc>
      </w:tr>
      <w:tr w:rsidR="00F91722" w:rsidTr="00652B99">
        <w:tc>
          <w:tcPr>
            <w:cnfStyle w:val="001000000000"/>
            <w:tcW w:w="1668" w:type="dxa"/>
          </w:tcPr>
          <w:p w:rsidR="00F91722" w:rsidRDefault="00F91722" w:rsidP="00CD0532">
            <w:r>
              <w:t>Table 2.2.3</w:t>
            </w:r>
            <w:r w:rsidR="00CD0532">
              <w:t>-</w:t>
            </w:r>
            <w:r>
              <w:t>1</w:t>
            </w:r>
          </w:p>
        </w:tc>
        <w:tc>
          <w:tcPr>
            <w:tcW w:w="7574" w:type="dxa"/>
          </w:tcPr>
          <w:p w:rsidR="00F91722" w:rsidRPr="00FE5803" w:rsidRDefault="00F91722" w:rsidP="00F91722">
            <w:pPr>
              <w:cnfStyle w:val="000000000000"/>
            </w:pPr>
            <w:r>
              <w:rPr>
                <w:color w:val="auto"/>
              </w:rPr>
              <w:t>The original text for notes 1 and 2 was more precise than the amended versions.</w:t>
            </w:r>
          </w:p>
        </w:tc>
      </w:tr>
      <w:tr w:rsidR="006D4CAA" w:rsidTr="00652B99">
        <w:trPr>
          <w:cnfStyle w:val="000000100000"/>
        </w:trPr>
        <w:tc>
          <w:tcPr>
            <w:cnfStyle w:val="001000000000"/>
            <w:tcW w:w="1668" w:type="dxa"/>
          </w:tcPr>
          <w:p w:rsidR="006D4CAA" w:rsidRDefault="006D4CAA" w:rsidP="006D4CAA">
            <w:r>
              <w:t>§2.2.3.1.7 ¶1</w:t>
            </w:r>
          </w:p>
        </w:tc>
        <w:tc>
          <w:tcPr>
            <w:tcW w:w="7574" w:type="dxa"/>
          </w:tcPr>
          <w:p w:rsidR="006D4CAA" w:rsidRPr="00FE5803" w:rsidRDefault="006D4CAA" w:rsidP="006D4CAA">
            <w:pPr>
              <w:cnfStyle w:val="000000100000"/>
              <w:rPr>
                <w:color w:val="auto"/>
              </w:rPr>
            </w:pPr>
            <w:r>
              <w:rPr>
                <w:color w:val="auto"/>
              </w:rPr>
              <w:t>Why does the phraseology of this note differ from that for 2.2.3.1.7?</w:t>
            </w:r>
          </w:p>
        </w:tc>
      </w:tr>
      <w:tr w:rsidR="006C756D" w:rsidTr="00652B99">
        <w:tc>
          <w:tcPr>
            <w:cnfStyle w:val="001000000000"/>
            <w:tcW w:w="1668" w:type="dxa"/>
          </w:tcPr>
          <w:p w:rsidR="006C756D" w:rsidRDefault="006C756D" w:rsidP="006C756D">
            <w:r>
              <w:t>§2.2.3.1.17 ¶2</w:t>
            </w:r>
          </w:p>
        </w:tc>
        <w:tc>
          <w:tcPr>
            <w:tcW w:w="7574" w:type="dxa"/>
          </w:tcPr>
          <w:p w:rsidR="006C756D" w:rsidRPr="00FE5803" w:rsidRDefault="006C756D" w:rsidP="006C756D">
            <w:pPr>
              <w:cnfStyle w:val="000000000000"/>
              <w:rPr>
                <w:color w:val="auto"/>
              </w:rPr>
            </w:pPr>
            <w:r>
              <w:rPr>
                <w:color w:val="auto"/>
              </w:rPr>
              <w:t>Eliminate ‘on’.</w:t>
            </w:r>
          </w:p>
        </w:tc>
      </w:tr>
      <w:tr w:rsidR="008558C0" w:rsidTr="00652B99">
        <w:trPr>
          <w:cnfStyle w:val="000000100000"/>
        </w:trPr>
        <w:tc>
          <w:tcPr>
            <w:cnfStyle w:val="001000000000"/>
            <w:tcW w:w="1668" w:type="dxa"/>
          </w:tcPr>
          <w:p w:rsidR="008558C0" w:rsidRDefault="008558C0" w:rsidP="008558C0">
            <w:r>
              <w:t>§2.2.3.1.18</w:t>
            </w:r>
          </w:p>
        </w:tc>
        <w:tc>
          <w:tcPr>
            <w:tcW w:w="7574" w:type="dxa"/>
          </w:tcPr>
          <w:p w:rsidR="008558C0" w:rsidRPr="008558C0" w:rsidRDefault="008558C0" w:rsidP="008558C0">
            <w:pPr>
              <w:cnfStyle w:val="000000100000"/>
              <w:rPr>
                <w:color w:val="0070C0"/>
              </w:rPr>
            </w:pPr>
            <w:r w:rsidRPr="008558C0">
              <w:rPr>
                <w:color w:val="0070C0"/>
              </w:rPr>
              <w:t>ARINC 838 provides a simplified description of software type ID which expects a one-to-one correspondence between ID and description. Is there a reason why ARINC 665 is so complicated in this respect?</w:t>
            </w:r>
          </w:p>
        </w:tc>
      </w:tr>
      <w:tr w:rsidR="00980E42" w:rsidTr="00652B99">
        <w:tc>
          <w:tcPr>
            <w:cnfStyle w:val="001000000000"/>
            <w:tcW w:w="1668" w:type="dxa"/>
          </w:tcPr>
          <w:p w:rsidR="00980E42" w:rsidRDefault="00980E42" w:rsidP="00980E42">
            <w:r>
              <w:t>§2.2.3.1.27 ¶1</w:t>
            </w:r>
          </w:p>
        </w:tc>
        <w:tc>
          <w:tcPr>
            <w:tcW w:w="7574" w:type="dxa"/>
          </w:tcPr>
          <w:p w:rsidR="00980E42" w:rsidRPr="00980E42" w:rsidRDefault="00980E42" w:rsidP="00980E42">
            <w:pPr>
              <w:cnfStyle w:val="000000000000"/>
              <w:rPr>
                <w:color w:val="0070C0"/>
              </w:rPr>
            </w:pPr>
            <w:r w:rsidRPr="00980E42">
              <w:rPr>
                <w:color w:val="0070C0"/>
              </w:rPr>
              <w:t xml:space="preserve">The last sentence has two </w:t>
            </w:r>
            <w:proofErr w:type="gramStart"/>
            <w:r w:rsidRPr="00980E42">
              <w:rPr>
                <w:color w:val="0070C0"/>
              </w:rPr>
              <w:t>‘if‘</w:t>
            </w:r>
            <w:r w:rsidR="0091114C">
              <w:rPr>
                <w:color w:val="0070C0"/>
              </w:rPr>
              <w:t xml:space="preserve"> </w:t>
            </w:r>
            <w:r w:rsidRPr="00980E42">
              <w:rPr>
                <w:color w:val="0070C0"/>
              </w:rPr>
              <w:t>conditions</w:t>
            </w:r>
            <w:proofErr w:type="gramEnd"/>
            <w:r w:rsidRPr="00980E42">
              <w:rPr>
                <w:color w:val="0070C0"/>
              </w:rPr>
              <w:t xml:space="preserve"> when only one is required.</w:t>
            </w:r>
          </w:p>
        </w:tc>
      </w:tr>
      <w:tr w:rsidR="00980E42" w:rsidTr="00652B99">
        <w:trPr>
          <w:cnfStyle w:val="000000100000"/>
        </w:trPr>
        <w:tc>
          <w:tcPr>
            <w:cnfStyle w:val="001000000000"/>
            <w:tcW w:w="1668" w:type="dxa"/>
          </w:tcPr>
          <w:p w:rsidR="00980E42" w:rsidRDefault="00980E42" w:rsidP="00CD727C">
            <w:r>
              <w:lastRenderedPageBreak/>
              <w:t>§2.2.3.1.28 ¶1</w:t>
            </w:r>
          </w:p>
        </w:tc>
        <w:tc>
          <w:tcPr>
            <w:tcW w:w="7574" w:type="dxa"/>
          </w:tcPr>
          <w:p w:rsidR="00980E42" w:rsidRPr="00FE5803" w:rsidRDefault="00980E42" w:rsidP="00CD727C">
            <w:pPr>
              <w:cnfStyle w:val="000000100000"/>
              <w:rPr>
                <w:color w:val="auto"/>
              </w:rPr>
            </w:pPr>
            <w:r>
              <w:rPr>
                <w:color w:val="auto"/>
              </w:rPr>
              <w:t>Why is there an instance of ‘Position’ in bold italics?</w:t>
            </w:r>
          </w:p>
        </w:tc>
      </w:tr>
      <w:tr w:rsidR="00F301EE" w:rsidTr="00652B99">
        <w:tc>
          <w:tcPr>
            <w:cnfStyle w:val="001000000000"/>
            <w:tcW w:w="1668" w:type="dxa"/>
          </w:tcPr>
          <w:p w:rsidR="00F301EE" w:rsidRDefault="00F301EE" w:rsidP="00F301EE">
            <w:r>
              <w:t>§2.2.3.1.32 ¶2</w:t>
            </w:r>
          </w:p>
        </w:tc>
        <w:tc>
          <w:tcPr>
            <w:tcW w:w="7574" w:type="dxa"/>
          </w:tcPr>
          <w:p w:rsidR="00F301EE" w:rsidRPr="00FE5803" w:rsidRDefault="00F301EE" w:rsidP="00F301EE">
            <w:pPr>
              <w:cnfStyle w:val="000000000000"/>
              <w:rPr>
                <w:color w:val="auto"/>
              </w:rPr>
            </w:pPr>
            <w:r>
              <w:rPr>
                <w:color w:val="auto"/>
              </w:rPr>
              <w:t>Why are there double quotes around Data File Pointer?</w:t>
            </w:r>
          </w:p>
        </w:tc>
      </w:tr>
      <w:tr w:rsidR="000C1DEB" w:rsidTr="00652B99">
        <w:trPr>
          <w:cnfStyle w:val="000000100000"/>
        </w:trPr>
        <w:tc>
          <w:tcPr>
            <w:cnfStyle w:val="001000000000"/>
            <w:tcW w:w="1668" w:type="dxa"/>
          </w:tcPr>
          <w:p w:rsidR="000C1DEB" w:rsidRDefault="000C1DEB" w:rsidP="00F0014E">
            <w:r>
              <w:t>§2.2.3.1.34 ¶</w:t>
            </w:r>
            <w:r w:rsidR="00F0014E">
              <w:t>3</w:t>
            </w:r>
          </w:p>
        </w:tc>
        <w:tc>
          <w:tcPr>
            <w:tcW w:w="7574" w:type="dxa"/>
          </w:tcPr>
          <w:p w:rsidR="000C1DEB" w:rsidRPr="00FE5803" w:rsidRDefault="000C1DEB" w:rsidP="0091114C">
            <w:pPr>
              <w:cnfStyle w:val="000000100000"/>
              <w:rPr>
                <w:color w:val="auto"/>
              </w:rPr>
            </w:pPr>
            <w:r>
              <w:rPr>
                <w:color w:val="auto"/>
              </w:rPr>
              <w:t>It would be better to state that the name should be unique within the LSP (rather than within the PN).</w:t>
            </w:r>
          </w:p>
        </w:tc>
      </w:tr>
      <w:tr w:rsidR="0091114C" w:rsidTr="00652B99">
        <w:tc>
          <w:tcPr>
            <w:cnfStyle w:val="001000000000"/>
            <w:tcW w:w="1668" w:type="dxa"/>
          </w:tcPr>
          <w:p w:rsidR="0091114C" w:rsidRDefault="0091114C" w:rsidP="0091114C">
            <w:r>
              <w:t>§2.2.3.1.36</w:t>
            </w:r>
          </w:p>
        </w:tc>
        <w:tc>
          <w:tcPr>
            <w:tcW w:w="7574" w:type="dxa"/>
          </w:tcPr>
          <w:p w:rsidR="0091114C" w:rsidRPr="00FE5803" w:rsidRDefault="0091114C" w:rsidP="0091114C">
            <w:pPr>
              <w:cnfStyle w:val="000000000000"/>
              <w:rPr>
                <w:color w:val="auto"/>
              </w:rPr>
            </w:pPr>
            <w:r>
              <w:rPr>
                <w:color w:val="auto"/>
              </w:rPr>
              <w:t>For consistency, ‘data file part number’ should be ‘Data File PN’.</w:t>
            </w:r>
          </w:p>
        </w:tc>
      </w:tr>
      <w:tr w:rsidR="0091114C" w:rsidTr="00652B99">
        <w:trPr>
          <w:cnfStyle w:val="000000100000"/>
        </w:trPr>
        <w:tc>
          <w:tcPr>
            <w:cnfStyle w:val="001000000000"/>
            <w:tcW w:w="1668" w:type="dxa"/>
          </w:tcPr>
          <w:p w:rsidR="0091114C" w:rsidRDefault="0091114C" w:rsidP="0091114C">
            <w:r>
              <w:t>§2.2.3.1.36 ¶4</w:t>
            </w:r>
          </w:p>
        </w:tc>
        <w:tc>
          <w:tcPr>
            <w:tcW w:w="7574" w:type="dxa"/>
          </w:tcPr>
          <w:p w:rsidR="0091114C" w:rsidRPr="00FE5803" w:rsidRDefault="0091114C" w:rsidP="0091114C">
            <w:pPr>
              <w:cnfStyle w:val="000000100000"/>
              <w:rPr>
                <w:color w:val="auto"/>
              </w:rPr>
            </w:pPr>
            <w:r>
              <w:rPr>
                <w:color w:val="auto"/>
              </w:rPr>
              <w:t>‘</w:t>
            </w:r>
            <w:proofErr w:type="gramStart"/>
            <w:r>
              <w:rPr>
                <w:color w:val="auto"/>
              </w:rPr>
              <w:t>assigner</w:t>
            </w:r>
            <w:proofErr w:type="gramEnd"/>
            <w:r>
              <w:rPr>
                <w:color w:val="auto"/>
              </w:rPr>
              <w:t>’ should be ‘assigned’.</w:t>
            </w:r>
          </w:p>
        </w:tc>
      </w:tr>
      <w:tr w:rsidR="0091114C" w:rsidTr="00652B99">
        <w:tc>
          <w:tcPr>
            <w:cnfStyle w:val="001000000000"/>
            <w:tcW w:w="1668" w:type="dxa"/>
          </w:tcPr>
          <w:p w:rsidR="0091114C" w:rsidRDefault="0091114C" w:rsidP="0091114C">
            <w:r>
              <w:t>§2.2.3.1.37</w:t>
            </w:r>
          </w:p>
        </w:tc>
        <w:tc>
          <w:tcPr>
            <w:tcW w:w="7574" w:type="dxa"/>
          </w:tcPr>
          <w:p w:rsidR="0091114C" w:rsidRPr="00FE5803" w:rsidRDefault="0091114C" w:rsidP="0091114C">
            <w:pPr>
              <w:cnfStyle w:val="000000000000"/>
              <w:rPr>
                <w:color w:val="auto"/>
              </w:rPr>
            </w:pPr>
            <w:r>
              <w:rPr>
                <w:color w:val="auto"/>
              </w:rPr>
              <w:t>For consistency, ‘data file length’ should be ‘Data File Length’.</w:t>
            </w:r>
          </w:p>
        </w:tc>
      </w:tr>
      <w:tr w:rsidR="00494D46" w:rsidTr="00652B99">
        <w:trPr>
          <w:cnfStyle w:val="000000100000"/>
        </w:trPr>
        <w:tc>
          <w:tcPr>
            <w:cnfStyle w:val="001000000000"/>
            <w:tcW w:w="1668" w:type="dxa"/>
          </w:tcPr>
          <w:p w:rsidR="00494D46" w:rsidRDefault="00494D46" w:rsidP="00494D46">
            <w:r>
              <w:t>§2.2.3.1.37 ¶1</w:t>
            </w:r>
          </w:p>
        </w:tc>
        <w:tc>
          <w:tcPr>
            <w:tcW w:w="7574" w:type="dxa"/>
          </w:tcPr>
          <w:p w:rsidR="00494D46" w:rsidRPr="00796121" w:rsidRDefault="00494D46" w:rsidP="00494D46">
            <w:pPr>
              <w:cnfStyle w:val="000000100000"/>
              <w:rPr>
                <w:color w:val="0070C0"/>
              </w:rPr>
            </w:pPr>
            <w:proofErr w:type="gramStart"/>
            <w:r w:rsidRPr="00796121">
              <w:rPr>
                <w:color w:val="0070C0"/>
              </w:rPr>
              <w:t>This conflicts</w:t>
            </w:r>
            <w:proofErr w:type="gramEnd"/>
            <w:r w:rsidRPr="00796121">
              <w:rPr>
                <w:color w:val="0070C0"/>
              </w:rPr>
              <w:t xml:space="preserve"> with section 2.2.1 which states that the data file must consist of 16-bit words (meaning no half words are allowed).</w:t>
            </w:r>
          </w:p>
        </w:tc>
      </w:tr>
      <w:tr w:rsidR="00494D46" w:rsidTr="00652B99">
        <w:tc>
          <w:tcPr>
            <w:cnfStyle w:val="001000000000"/>
            <w:tcW w:w="1668" w:type="dxa"/>
          </w:tcPr>
          <w:p w:rsidR="00494D46" w:rsidRDefault="00494D46" w:rsidP="00B50872">
            <w:r>
              <w:t>§2.2.3.1.45 ¶2</w:t>
            </w:r>
          </w:p>
        </w:tc>
        <w:tc>
          <w:tcPr>
            <w:tcW w:w="7574" w:type="dxa"/>
          </w:tcPr>
          <w:p w:rsidR="00494D46" w:rsidRPr="00FE5803" w:rsidRDefault="00494D46" w:rsidP="0091114C">
            <w:pPr>
              <w:cnfStyle w:val="000000000000"/>
              <w:rPr>
                <w:color w:val="auto"/>
              </w:rPr>
            </w:pPr>
            <w:r>
              <w:rPr>
                <w:color w:val="auto"/>
              </w:rPr>
              <w:t>Why are there double quotes around Data File Pointer?</w:t>
            </w:r>
          </w:p>
        </w:tc>
      </w:tr>
      <w:tr w:rsidR="00494D46" w:rsidTr="00652B99">
        <w:trPr>
          <w:cnfStyle w:val="000000100000"/>
        </w:trPr>
        <w:tc>
          <w:tcPr>
            <w:cnfStyle w:val="001000000000"/>
            <w:tcW w:w="1668" w:type="dxa"/>
          </w:tcPr>
          <w:p w:rsidR="00494D46" w:rsidRDefault="00494D46" w:rsidP="00F0014E">
            <w:r>
              <w:t>§2.2.3.1.37 ¶3</w:t>
            </w:r>
          </w:p>
        </w:tc>
        <w:tc>
          <w:tcPr>
            <w:tcW w:w="7574" w:type="dxa"/>
          </w:tcPr>
          <w:p w:rsidR="00494D46" w:rsidRPr="00FE5803" w:rsidRDefault="00494D46" w:rsidP="00A6046E">
            <w:pPr>
              <w:cnfStyle w:val="000000100000"/>
              <w:rPr>
                <w:color w:val="auto"/>
              </w:rPr>
            </w:pPr>
            <w:r>
              <w:rPr>
                <w:color w:val="auto"/>
              </w:rPr>
              <w:t>It would be better to state that the name should be unique within the LSP (rather than within the PN).</w:t>
            </w:r>
          </w:p>
        </w:tc>
      </w:tr>
      <w:tr w:rsidR="00494D46" w:rsidTr="00652B99">
        <w:tc>
          <w:tcPr>
            <w:cnfStyle w:val="001000000000"/>
            <w:tcW w:w="1668" w:type="dxa"/>
          </w:tcPr>
          <w:p w:rsidR="00494D46" w:rsidRDefault="00494D46" w:rsidP="008F796A">
            <w:r>
              <w:t>§2.2.3.1.49 ¶3</w:t>
            </w:r>
          </w:p>
        </w:tc>
        <w:tc>
          <w:tcPr>
            <w:tcW w:w="7574" w:type="dxa"/>
          </w:tcPr>
          <w:p w:rsidR="00494D46" w:rsidRPr="00FE5803" w:rsidRDefault="00494D46" w:rsidP="008F796A">
            <w:pPr>
              <w:cnfStyle w:val="000000000000"/>
              <w:rPr>
                <w:color w:val="auto"/>
              </w:rPr>
            </w:pPr>
            <w:r>
              <w:rPr>
                <w:color w:val="auto"/>
              </w:rPr>
              <w:t>For consistency, ‘</w:t>
            </w:r>
            <w:proofErr w:type="gramStart"/>
            <w:r>
              <w:rPr>
                <w:color w:val="auto"/>
              </w:rPr>
              <w:t>support file</w:t>
            </w:r>
            <w:proofErr w:type="gramEnd"/>
            <w:r>
              <w:rPr>
                <w:color w:val="auto"/>
              </w:rPr>
              <w:t xml:space="preserve"> part number’ should be ‘Support File PN’.</w:t>
            </w:r>
          </w:p>
        </w:tc>
      </w:tr>
      <w:tr w:rsidR="00494D46" w:rsidTr="00652B99">
        <w:trPr>
          <w:cnfStyle w:val="000000100000"/>
        </w:trPr>
        <w:tc>
          <w:tcPr>
            <w:cnfStyle w:val="001000000000"/>
            <w:tcW w:w="1668" w:type="dxa"/>
          </w:tcPr>
          <w:p w:rsidR="00494D46" w:rsidRDefault="00494D46" w:rsidP="00A6046E">
            <w:r>
              <w:t>§2.2.3.1.49 ¶4</w:t>
            </w:r>
          </w:p>
        </w:tc>
        <w:tc>
          <w:tcPr>
            <w:tcW w:w="7574" w:type="dxa"/>
          </w:tcPr>
          <w:p w:rsidR="00494D46" w:rsidRPr="00FE5803" w:rsidRDefault="00494D46" w:rsidP="008F796A">
            <w:pPr>
              <w:cnfStyle w:val="000000100000"/>
              <w:rPr>
                <w:color w:val="auto"/>
              </w:rPr>
            </w:pPr>
            <w:r>
              <w:rPr>
                <w:color w:val="auto"/>
              </w:rPr>
              <w:t>This paragraph is redundant due to the addition to the previous one.</w:t>
            </w:r>
          </w:p>
        </w:tc>
      </w:tr>
      <w:tr w:rsidR="00494D46" w:rsidTr="00652B99">
        <w:tc>
          <w:tcPr>
            <w:cnfStyle w:val="001000000000"/>
            <w:tcW w:w="1668" w:type="dxa"/>
          </w:tcPr>
          <w:p w:rsidR="00494D46" w:rsidRDefault="00494D46" w:rsidP="00BD65AE">
            <w:r>
              <w:t>§2.2.3.1.57 ¶1</w:t>
            </w:r>
          </w:p>
        </w:tc>
        <w:tc>
          <w:tcPr>
            <w:tcW w:w="7574" w:type="dxa"/>
          </w:tcPr>
          <w:p w:rsidR="00494D46" w:rsidRPr="00FE5803" w:rsidRDefault="00494D46" w:rsidP="004D62EA">
            <w:pPr>
              <w:cnfStyle w:val="000000000000"/>
              <w:rPr>
                <w:color w:val="auto"/>
              </w:rPr>
            </w:pPr>
            <w:r>
              <w:rPr>
                <w:color w:val="auto"/>
              </w:rPr>
              <w:t xml:space="preserve">Shouldn’t there be a statement that this is omitted if there is a null pointer to it </w:t>
            </w:r>
            <w:r w:rsidR="004D62EA">
              <w:rPr>
                <w:color w:val="auto"/>
              </w:rPr>
              <w:t>(</w:t>
            </w:r>
            <w:r>
              <w:rPr>
                <w:color w:val="auto"/>
              </w:rPr>
              <w:t>as for all other similar areas accessed by pointer).</w:t>
            </w:r>
          </w:p>
        </w:tc>
      </w:tr>
      <w:tr w:rsidR="00494D46" w:rsidTr="00652B99">
        <w:trPr>
          <w:cnfStyle w:val="000000100000"/>
        </w:trPr>
        <w:tc>
          <w:tcPr>
            <w:cnfStyle w:val="001000000000"/>
            <w:tcW w:w="1668" w:type="dxa"/>
          </w:tcPr>
          <w:p w:rsidR="00494D46" w:rsidRDefault="00494D46" w:rsidP="00310018">
            <w:r>
              <w:t>§2.2.3.1.60 ¶1</w:t>
            </w:r>
          </w:p>
        </w:tc>
        <w:tc>
          <w:tcPr>
            <w:tcW w:w="7574" w:type="dxa"/>
          </w:tcPr>
          <w:p w:rsidR="00494D46" w:rsidRPr="00310018" w:rsidRDefault="00494D46" w:rsidP="0064782B">
            <w:pPr>
              <w:cnfStyle w:val="000000100000"/>
              <w:rPr>
                <w:color w:val="0070C0"/>
              </w:rPr>
            </w:pPr>
            <w:r w:rsidRPr="00310018">
              <w:rPr>
                <w:color w:val="0070C0"/>
              </w:rPr>
              <w:t xml:space="preserve">‘Header </w:t>
            </w:r>
            <w:proofErr w:type="gramStart"/>
            <w:r w:rsidRPr="00310018">
              <w:rPr>
                <w:color w:val="0070C0"/>
              </w:rPr>
              <w:t>file</w:t>
            </w:r>
            <w:proofErr w:type="gramEnd"/>
            <w:r w:rsidRPr="00310018">
              <w:rPr>
                <w:color w:val="0070C0"/>
              </w:rPr>
              <w:t xml:space="preserve"> Check Value Length’ should be ‘Load Check </w:t>
            </w:r>
            <w:r w:rsidR="0064782B">
              <w:rPr>
                <w:color w:val="0070C0"/>
              </w:rPr>
              <w:t>V</w:t>
            </w:r>
            <w:r w:rsidRPr="00310018">
              <w:rPr>
                <w:color w:val="0070C0"/>
              </w:rPr>
              <w:t>alue Length’.</w:t>
            </w:r>
          </w:p>
        </w:tc>
      </w:tr>
      <w:tr w:rsidR="00387CE2" w:rsidTr="00652B99">
        <w:tc>
          <w:tcPr>
            <w:cnfStyle w:val="001000000000"/>
            <w:tcW w:w="1668" w:type="dxa"/>
          </w:tcPr>
          <w:p w:rsidR="00387CE2" w:rsidRDefault="00387CE2" w:rsidP="00387CE2">
            <w:r>
              <w:t>§2.2.3.1.61 ¶1</w:t>
            </w:r>
          </w:p>
        </w:tc>
        <w:tc>
          <w:tcPr>
            <w:tcW w:w="7574" w:type="dxa"/>
          </w:tcPr>
          <w:p w:rsidR="00387CE2" w:rsidRDefault="00387CE2" w:rsidP="00387CE2">
            <w:pPr>
              <w:cnfStyle w:val="000000000000"/>
              <w:rPr>
                <w:color w:val="0070C0"/>
              </w:rPr>
            </w:pPr>
            <w:r>
              <w:rPr>
                <w:color w:val="auto"/>
              </w:rPr>
              <w:t>For consistency, ‘type’ should be ‘</w:t>
            </w:r>
            <w:r>
              <w:rPr>
                <w:b/>
                <w:vanish/>
                <w:color w:val="auto"/>
              </w:rPr>
              <w:t>T</w:t>
            </w:r>
            <w:r w:rsidRPr="00387CE2">
              <w:rPr>
                <w:vanish/>
                <w:color w:val="auto"/>
              </w:rPr>
              <w:t>ype</w:t>
            </w:r>
            <w:r>
              <w:rPr>
                <w:color w:val="auto"/>
              </w:rPr>
              <w:t>’.</w:t>
            </w:r>
          </w:p>
        </w:tc>
      </w:tr>
      <w:tr w:rsidR="00D653B3" w:rsidTr="00652B99">
        <w:trPr>
          <w:cnfStyle w:val="000000100000"/>
        </w:trPr>
        <w:tc>
          <w:tcPr>
            <w:cnfStyle w:val="001000000000"/>
            <w:tcW w:w="1668" w:type="dxa"/>
          </w:tcPr>
          <w:p w:rsidR="00D653B3" w:rsidRDefault="00D653B3" w:rsidP="00D653B3">
            <w:r>
              <w:t>§2.2.3.1.61 ¶2</w:t>
            </w:r>
          </w:p>
        </w:tc>
        <w:tc>
          <w:tcPr>
            <w:tcW w:w="7574" w:type="dxa"/>
          </w:tcPr>
          <w:p w:rsidR="00D653B3" w:rsidRPr="00310018" w:rsidRDefault="00D653B3" w:rsidP="00D653B3">
            <w:pPr>
              <w:cnfStyle w:val="000000100000"/>
              <w:rPr>
                <w:color w:val="0070C0"/>
              </w:rPr>
            </w:pPr>
            <w:r>
              <w:rPr>
                <w:color w:val="0070C0"/>
              </w:rPr>
              <w:t>This description is not precise enough. It should be brought in line with the new text for the Load CRC in section 2.2.3.1.63.</w:t>
            </w:r>
          </w:p>
        </w:tc>
      </w:tr>
      <w:tr w:rsidR="00D441E7" w:rsidTr="00652B99">
        <w:tc>
          <w:tcPr>
            <w:cnfStyle w:val="001000000000"/>
            <w:tcW w:w="1668" w:type="dxa"/>
          </w:tcPr>
          <w:p w:rsidR="00D441E7" w:rsidRDefault="00D441E7" w:rsidP="00D441E7">
            <w:r>
              <w:t>§2.2.3.1.63 ¶1</w:t>
            </w:r>
          </w:p>
        </w:tc>
        <w:tc>
          <w:tcPr>
            <w:tcW w:w="7574" w:type="dxa"/>
          </w:tcPr>
          <w:p w:rsidR="00D441E7" w:rsidRPr="00FE5803" w:rsidRDefault="00D441E7" w:rsidP="00D441E7">
            <w:pPr>
              <w:cnfStyle w:val="000000000000"/>
              <w:rPr>
                <w:color w:val="auto"/>
              </w:rPr>
            </w:pPr>
            <w:r>
              <w:rPr>
                <w:color w:val="auto"/>
              </w:rPr>
              <w:t>Why are there double quotes around Load CRC?</w:t>
            </w:r>
          </w:p>
        </w:tc>
      </w:tr>
      <w:tr w:rsidR="001A704F" w:rsidTr="00652B99">
        <w:trPr>
          <w:cnfStyle w:val="000000100000"/>
        </w:trPr>
        <w:tc>
          <w:tcPr>
            <w:cnfStyle w:val="001000000000"/>
            <w:tcW w:w="1668" w:type="dxa"/>
          </w:tcPr>
          <w:p w:rsidR="001A704F" w:rsidRDefault="001A704F" w:rsidP="00D441E7">
            <w:r>
              <w:t>§2.2.3.2 ¶1</w:t>
            </w:r>
          </w:p>
        </w:tc>
        <w:tc>
          <w:tcPr>
            <w:tcW w:w="7574" w:type="dxa"/>
          </w:tcPr>
          <w:p w:rsidR="001A704F" w:rsidRPr="00796121" w:rsidRDefault="001A704F" w:rsidP="00D441E7">
            <w:pPr>
              <w:cnfStyle w:val="000000100000"/>
              <w:rPr>
                <w:color w:val="0070C0"/>
              </w:rPr>
            </w:pPr>
            <w:proofErr w:type="gramStart"/>
            <w:r w:rsidRPr="00796121">
              <w:rPr>
                <w:color w:val="0070C0"/>
              </w:rPr>
              <w:t>This conflicts</w:t>
            </w:r>
            <w:proofErr w:type="gramEnd"/>
            <w:r w:rsidRPr="00796121">
              <w:rPr>
                <w:color w:val="0070C0"/>
              </w:rPr>
              <w:t xml:space="preserve"> with section 2.2.1 which states that the data file must consist of 16-bit words.</w:t>
            </w:r>
          </w:p>
        </w:tc>
      </w:tr>
      <w:tr w:rsidR="00E32CC3" w:rsidTr="00652B99">
        <w:tc>
          <w:tcPr>
            <w:cnfStyle w:val="001000000000"/>
            <w:tcW w:w="1668" w:type="dxa"/>
          </w:tcPr>
          <w:p w:rsidR="00E32CC3" w:rsidRDefault="00E32CC3" w:rsidP="00A90DB0">
            <w:r>
              <w:t>§2.2.3.3 ¶1</w:t>
            </w:r>
          </w:p>
        </w:tc>
        <w:tc>
          <w:tcPr>
            <w:tcW w:w="7574" w:type="dxa"/>
          </w:tcPr>
          <w:p w:rsidR="00E32CC3" w:rsidRPr="00796121" w:rsidRDefault="00E32CC3" w:rsidP="00A90DB0">
            <w:pPr>
              <w:cnfStyle w:val="000000000000"/>
              <w:rPr>
                <w:color w:val="0070C0"/>
              </w:rPr>
            </w:pPr>
            <w:r>
              <w:rPr>
                <w:color w:val="auto"/>
              </w:rPr>
              <w:t>‘8-bit words’ should be ‘8-bit bytes’</w:t>
            </w:r>
            <w:r w:rsidR="007320EE">
              <w:rPr>
                <w:color w:val="auto"/>
              </w:rPr>
              <w:t xml:space="preserve"> (or just ‘bytes’)</w:t>
            </w:r>
            <w:r>
              <w:rPr>
                <w:color w:val="auto"/>
              </w:rPr>
              <w:t>.</w:t>
            </w:r>
          </w:p>
        </w:tc>
      </w:tr>
      <w:tr w:rsidR="0058754C" w:rsidTr="00652B99">
        <w:trPr>
          <w:cnfStyle w:val="000000100000"/>
        </w:trPr>
        <w:tc>
          <w:tcPr>
            <w:cnfStyle w:val="001000000000"/>
            <w:tcW w:w="1668" w:type="dxa"/>
          </w:tcPr>
          <w:p w:rsidR="0058754C" w:rsidRDefault="0058754C" w:rsidP="0058754C">
            <w:r>
              <w:t>§2.3.1 ¶1</w:t>
            </w:r>
          </w:p>
        </w:tc>
        <w:tc>
          <w:tcPr>
            <w:tcW w:w="7574" w:type="dxa"/>
          </w:tcPr>
          <w:p w:rsidR="0058754C" w:rsidRDefault="0058754C" w:rsidP="008A7A70">
            <w:pPr>
              <w:cnfStyle w:val="000000100000"/>
            </w:pPr>
            <w:r>
              <w:t>‘Target Hardware’ should be ‘Target Hardware Position’.</w:t>
            </w:r>
          </w:p>
        </w:tc>
      </w:tr>
      <w:tr w:rsidR="0058754C" w:rsidTr="00652B99">
        <w:tc>
          <w:tcPr>
            <w:cnfStyle w:val="001000000000"/>
            <w:tcW w:w="1668" w:type="dxa"/>
          </w:tcPr>
          <w:p w:rsidR="0058754C" w:rsidRDefault="0058754C" w:rsidP="008A7A70">
            <w:r>
              <w:t>§2.3.1 ¶2</w:t>
            </w:r>
          </w:p>
        </w:tc>
        <w:tc>
          <w:tcPr>
            <w:tcW w:w="7574" w:type="dxa"/>
          </w:tcPr>
          <w:p w:rsidR="0058754C" w:rsidRDefault="0058754C" w:rsidP="008A7A70">
            <w:pPr>
              <w:cnfStyle w:val="000000000000"/>
            </w:pPr>
            <w:r>
              <w:t>‘Target Hardware ID position’ should be ‘Target Hardware Position’.</w:t>
            </w:r>
          </w:p>
        </w:tc>
      </w:tr>
      <w:tr w:rsidR="0058754C" w:rsidTr="00652B99">
        <w:trPr>
          <w:cnfStyle w:val="000000100000"/>
        </w:trPr>
        <w:tc>
          <w:tcPr>
            <w:cnfStyle w:val="001000000000"/>
            <w:tcW w:w="1668" w:type="dxa"/>
          </w:tcPr>
          <w:p w:rsidR="0058754C" w:rsidRDefault="0058754C" w:rsidP="00D613DB">
            <w:r>
              <w:t>§2.3.1 ¶5</w:t>
            </w:r>
          </w:p>
        </w:tc>
        <w:tc>
          <w:tcPr>
            <w:tcW w:w="7574" w:type="dxa"/>
          </w:tcPr>
          <w:p w:rsidR="0058754C" w:rsidRPr="00D613DB" w:rsidRDefault="0058754C" w:rsidP="00D613DB">
            <w:pPr>
              <w:cnfStyle w:val="000000100000"/>
              <w:rPr>
                <w:color w:val="0070C0"/>
              </w:rPr>
            </w:pPr>
            <w:r w:rsidRPr="00D613DB">
              <w:rPr>
                <w:color w:val="0070C0"/>
              </w:rPr>
              <w:t>There is no ‘Figure C-6’!</w:t>
            </w:r>
          </w:p>
        </w:tc>
      </w:tr>
      <w:tr w:rsidR="0058754C" w:rsidTr="00652B99">
        <w:tc>
          <w:tcPr>
            <w:cnfStyle w:val="001000000000"/>
            <w:tcW w:w="1668" w:type="dxa"/>
          </w:tcPr>
          <w:p w:rsidR="0058754C" w:rsidRDefault="0058754C" w:rsidP="00D613DB">
            <w:r>
              <w:t>§2.3.1 ¶5</w:t>
            </w:r>
          </w:p>
        </w:tc>
        <w:tc>
          <w:tcPr>
            <w:tcW w:w="7574" w:type="dxa"/>
          </w:tcPr>
          <w:p w:rsidR="0058754C" w:rsidRDefault="0058754C" w:rsidP="004D62EA">
            <w:pPr>
              <w:cnfStyle w:val="000000000000"/>
            </w:pPr>
            <w:r>
              <w:t xml:space="preserve">Here the concept of a Batch File Part is introduced but in the existing text it is just known as a Batch File. </w:t>
            </w:r>
            <w:r w:rsidR="004D62EA">
              <w:t>In section 1.6 it is just Batch Part. One of these terms should be used consistently throughout the standard</w:t>
            </w:r>
            <w:r>
              <w:t>.</w:t>
            </w:r>
          </w:p>
        </w:tc>
      </w:tr>
      <w:tr w:rsidR="0058754C" w:rsidTr="00652B99">
        <w:trPr>
          <w:cnfStyle w:val="000000100000"/>
        </w:trPr>
        <w:tc>
          <w:tcPr>
            <w:cnfStyle w:val="001000000000"/>
            <w:tcW w:w="1668" w:type="dxa"/>
          </w:tcPr>
          <w:p w:rsidR="0058754C" w:rsidRDefault="0058754C" w:rsidP="00A90DB0">
            <w:r>
              <w:t>§2.3.1 ¶7</w:t>
            </w:r>
          </w:p>
        </w:tc>
        <w:tc>
          <w:tcPr>
            <w:tcW w:w="7574" w:type="dxa"/>
          </w:tcPr>
          <w:p w:rsidR="0058754C" w:rsidRDefault="0058754C" w:rsidP="00A90DB0">
            <w:pPr>
              <w:cnfStyle w:val="000000100000"/>
            </w:pPr>
            <w:r>
              <w:t>‘</w:t>
            </w:r>
            <w:proofErr w:type="gramStart"/>
            <w:r>
              <w:t>creator</w:t>
            </w:r>
            <w:proofErr w:type="gramEnd"/>
            <w:r>
              <w:t xml:space="preserve"> file’ should be ‘creator of the file’.</w:t>
            </w:r>
          </w:p>
        </w:tc>
      </w:tr>
      <w:tr w:rsidR="00765A80" w:rsidTr="00652B99">
        <w:tc>
          <w:tcPr>
            <w:cnfStyle w:val="001000000000"/>
            <w:tcW w:w="1668" w:type="dxa"/>
          </w:tcPr>
          <w:p w:rsidR="00765A80" w:rsidRDefault="00765A80" w:rsidP="009426DD">
            <w:r>
              <w:t>§2.3.1 ¶10</w:t>
            </w:r>
          </w:p>
        </w:tc>
        <w:tc>
          <w:tcPr>
            <w:tcW w:w="7574" w:type="dxa"/>
          </w:tcPr>
          <w:p w:rsidR="00765A80" w:rsidRDefault="00765A80" w:rsidP="009426DD">
            <w:pPr>
              <w:cnfStyle w:val="000000000000"/>
            </w:pPr>
            <w:r>
              <w:t>For consistency, ‘position’ should be ‘Position’.</w:t>
            </w:r>
          </w:p>
        </w:tc>
      </w:tr>
      <w:tr w:rsidR="00765A80" w:rsidTr="00652B99">
        <w:trPr>
          <w:cnfStyle w:val="000000100000"/>
        </w:trPr>
        <w:tc>
          <w:tcPr>
            <w:cnfStyle w:val="001000000000"/>
            <w:tcW w:w="1668" w:type="dxa"/>
          </w:tcPr>
          <w:p w:rsidR="00765A80" w:rsidRDefault="00765A80" w:rsidP="00CD0532">
            <w:r>
              <w:t>Table 2.3.1-1</w:t>
            </w:r>
          </w:p>
        </w:tc>
        <w:tc>
          <w:tcPr>
            <w:tcW w:w="7574" w:type="dxa"/>
          </w:tcPr>
          <w:p w:rsidR="00765A80" w:rsidRDefault="00765A80" w:rsidP="00463C08">
            <w:pPr>
              <w:cnfStyle w:val="000000100000"/>
            </w:pPr>
            <w:r>
              <w:t>For consistency, ‘Load-list’ should be ‘Load-</w:t>
            </w:r>
            <w:r w:rsidRPr="007658D1">
              <w:rPr>
                <w:b/>
              </w:rPr>
              <w:t>L</w:t>
            </w:r>
            <w:r>
              <w:t>ist’.</w:t>
            </w:r>
          </w:p>
        </w:tc>
      </w:tr>
      <w:tr w:rsidR="00765A80" w:rsidTr="00652B99">
        <w:tc>
          <w:tcPr>
            <w:cnfStyle w:val="001000000000"/>
            <w:tcW w:w="1668" w:type="dxa"/>
          </w:tcPr>
          <w:p w:rsidR="00765A80" w:rsidRDefault="00765A80" w:rsidP="00CD0532">
            <w:r>
              <w:t>Table 2.3.1-1</w:t>
            </w:r>
          </w:p>
        </w:tc>
        <w:tc>
          <w:tcPr>
            <w:tcW w:w="7574" w:type="dxa"/>
          </w:tcPr>
          <w:p w:rsidR="00765A80" w:rsidRPr="00FE5803" w:rsidRDefault="00765A80" w:rsidP="00463C08">
            <w:pPr>
              <w:cnfStyle w:val="000000000000"/>
            </w:pPr>
            <w:r>
              <w:rPr>
                <w:color w:val="auto"/>
              </w:rPr>
              <w:t>The original text for notes 1 and 2 was more precise than the amended versions.</w:t>
            </w:r>
          </w:p>
        </w:tc>
      </w:tr>
      <w:tr w:rsidR="00765A80" w:rsidTr="00652B99">
        <w:trPr>
          <w:cnfStyle w:val="000000100000"/>
        </w:trPr>
        <w:tc>
          <w:tcPr>
            <w:cnfStyle w:val="001000000000"/>
            <w:tcW w:w="1668" w:type="dxa"/>
          </w:tcPr>
          <w:p w:rsidR="00765A80" w:rsidRDefault="00765A80" w:rsidP="00D613DB">
            <w:r>
              <w:t>§2.3.1 ¶12</w:t>
            </w:r>
          </w:p>
        </w:tc>
        <w:tc>
          <w:tcPr>
            <w:tcW w:w="7574" w:type="dxa"/>
          </w:tcPr>
          <w:p w:rsidR="00765A80" w:rsidRDefault="00765A80" w:rsidP="00D613DB">
            <w:pPr>
              <w:cnfStyle w:val="000000100000"/>
            </w:pPr>
            <w:r>
              <w:t>‘filed’ should be ‘field’ (in note 1)</w:t>
            </w:r>
          </w:p>
        </w:tc>
      </w:tr>
      <w:tr w:rsidR="00765A80" w:rsidTr="00652B99">
        <w:tc>
          <w:tcPr>
            <w:cnfStyle w:val="001000000000"/>
            <w:tcW w:w="1668" w:type="dxa"/>
          </w:tcPr>
          <w:p w:rsidR="00765A80" w:rsidRDefault="00765A80" w:rsidP="00D613DB">
            <w:r>
              <w:t>§2.3.1.5 ¶1</w:t>
            </w:r>
          </w:p>
        </w:tc>
        <w:tc>
          <w:tcPr>
            <w:tcW w:w="7574" w:type="dxa"/>
          </w:tcPr>
          <w:p w:rsidR="00765A80" w:rsidRDefault="00765A80" w:rsidP="00D613DB">
            <w:pPr>
              <w:cnfStyle w:val="000000000000"/>
            </w:pPr>
            <w:r>
              <w:t>For consistency, ‘Load List’ should be ‘Load-List’ (including in title).</w:t>
            </w:r>
          </w:p>
        </w:tc>
      </w:tr>
      <w:tr w:rsidR="00765A80" w:rsidTr="00652B99">
        <w:trPr>
          <w:cnfStyle w:val="000000100000"/>
        </w:trPr>
        <w:tc>
          <w:tcPr>
            <w:cnfStyle w:val="001000000000"/>
            <w:tcW w:w="1668" w:type="dxa"/>
          </w:tcPr>
          <w:p w:rsidR="00765A80" w:rsidRDefault="00765A80" w:rsidP="00463C08">
            <w:r>
              <w:t>§2.3.1.7 ¶1</w:t>
            </w:r>
          </w:p>
        </w:tc>
        <w:tc>
          <w:tcPr>
            <w:tcW w:w="7574" w:type="dxa"/>
          </w:tcPr>
          <w:p w:rsidR="00765A80" w:rsidRDefault="00765A80" w:rsidP="00463C08">
            <w:pPr>
              <w:cnfStyle w:val="000000100000"/>
            </w:pPr>
            <w:r>
              <w:t>This should be split into two sentences and worded in the same way as for other length fields (e.g. 2.2.3.1.16).</w:t>
            </w:r>
          </w:p>
        </w:tc>
      </w:tr>
      <w:tr w:rsidR="00765A80" w:rsidTr="00652B99">
        <w:tc>
          <w:tcPr>
            <w:cnfStyle w:val="001000000000"/>
            <w:tcW w:w="1668" w:type="dxa"/>
          </w:tcPr>
          <w:p w:rsidR="00765A80" w:rsidRDefault="00765A80" w:rsidP="00CC1251">
            <w:r>
              <w:t>§2.3.1.8 ¶1</w:t>
            </w:r>
          </w:p>
        </w:tc>
        <w:tc>
          <w:tcPr>
            <w:tcW w:w="7574" w:type="dxa"/>
          </w:tcPr>
          <w:p w:rsidR="00765A80" w:rsidRDefault="00765A80" w:rsidP="00E16224">
            <w:pPr>
              <w:cnfStyle w:val="000000000000"/>
            </w:pPr>
            <w:r>
              <w:t>‘Batch File PN Field’ should be just ‘Batch File PN’.</w:t>
            </w:r>
          </w:p>
        </w:tc>
      </w:tr>
      <w:tr w:rsidR="00765A80" w:rsidTr="00652B99">
        <w:trPr>
          <w:cnfStyle w:val="000000100000"/>
        </w:trPr>
        <w:tc>
          <w:tcPr>
            <w:cnfStyle w:val="001000000000"/>
            <w:tcW w:w="1668" w:type="dxa"/>
          </w:tcPr>
          <w:p w:rsidR="00765A80" w:rsidRDefault="00765A80" w:rsidP="00CC1251">
            <w:r>
              <w:t>§2.3.1.9 ¶1</w:t>
            </w:r>
          </w:p>
        </w:tc>
        <w:tc>
          <w:tcPr>
            <w:tcW w:w="7574" w:type="dxa"/>
          </w:tcPr>
          <w:p w:rsidR="00765A80" w:rsidRDefault="00765A80" w:rsidP="006C1514">
            <w:pPr>
              <w:cnfStyle w:val="000000100000"/>
            </w:pPr>
            <w:r>
              <w:t>This should be split into two sentences and worded in the same way as for other length fields (e.g. 2.2.3.1.16).</w:t>
            </w:r>
          </w:p>
        </w:tc>
      </w:tr>
      <w:tr w:rsidR="00765A80" w:rsidTr="00652B99">
        <w:tc>
          <w:tcPr>
            <w:cnfStyle w:val="001000000000"/>
            <w:tcW w:w="1668" w:type="dxa"/>
          </w:tcPr>
          <w:p w:rsidR="00765A80" w:rsidRDefault="00765A80" w:rsidP="00D613DB">
            <w:r>
              <w:t>§2.3.1.12 ¶1</w:t>
            </w:r>
          </w:p>
        </w:tc>
        <w:tc>
          <w:tcPr>
            <w:tcW w:w="7574" w:type="dxa"/>
          </w:tcPr>
          <w:p w:rsidR="00765A80" w:rsidRDefault="00765A80" w:rsidP="00D613DB">
            <w:pPr>
              <w:cnfStyle w:val="000000000000"/>
            </w:pPr>
            <w:r>
              <w:t>Should state that this is a relative pointer and be worded in the same way as section 2.2.3.1.32.</w:t>
            </w:r>
          </w:p>
        </w:tc>
      </w:tr>
      <w:tr w:rsidR="00765A80" w:rsidTr="00652B99">
        <w:trPr>
          <w:cnfStyle w:val="000000100000"/>
        </w:trPr>
        <w:tc>
          <w:tcPr>
            <w:cnfStyle w:val="001000000000"/>
            <w:tcW w:w="1668" w:type="dxa"/>
          </w:tcPr>
          <w:p w:rsidR="00765A80" w:rsidRDefault="00765A80" w:rsidP="00BD096F">
            <w:r>
              <w:t>§2.3.1.13 ¶1</w:t>
            </w:r>
          </w:p>
        </w:tc>
        <w:tc>
          <w:tcPr>
            <w:tcW w:w="7574" w:type="dxa"/>
          </w:tcPr>
          <w:p w:rsidR="00765A80" w:rsidRDefault="00765A80" w:rsidP="006C1514">
            <w:pPr>
              <w:cnfStyle w:val="000000100000"/>
            </w:pPr>
            <w:r>
              <w:t>This should be split into two sentences and worded in the same way as for other length fields (e.g. 2.2.3.1.16).</w:t>
            </w:r>
          </w:p>
        </w:tc>
      </w:tr>
      <w:tr w:rsidR="00765A80" w:rsidTr="00652B99">
        <w:tc>
          <w:tcPr>
            <w:cnfStyle w:val="001000000000"/>
            <w:tcW w:w="1668" w:type="dxa"/>
          </w:tcPr>
          <w:p w:rsidR="00765A80" w:rsidRDefault="00765A80" w:rsidP="006C1514">
            <w:r>
              <w:t>§2.3.1.14 ¶1</w:t>
            </w:r>
          </w:p>
        </w:tc>
        <w:tc>
          <w:tcPr>
            <w:tcW w:w="7574" w:type="dxa"/>
          </w:tcPr>
          <w:p w:rsidR="00765A80" w:rsidRDefault="00765A80" w:rsidP="006C1514">
            <w:pPr>
              <w:cnfStyle w:val="000000000000"/>
            </w:pPr>
            <w:r>
              <w:t>‘Target HW ID POS Field’ should be just ‘Target HW ID POS’.</w:t>
            </w:r>
          </w:p>
        </w:tc>
      </w:tr>
      <w:tr w:rsidR="00765A80" w:rsidTr="00652B99">
        <w:trPr>
          <w:cnfStyle w:val="000000100000"/>
        </w:trPr>
        <w:tc>
          <w:tcPr>
            <w:cnfStyle w:val="001000000000"/>
            <w:tcW w:w="1668" w:type="dxa"/>
          </w:tcPr>
          <w:p w:rsidR="00765A80" w:rsidRDefault="00765A80" w:rsidP="00765A80">
            <w:r>
              <w:t>§2.3.1.15 ¶1</w:t>
            </w:r>
          </w:p>
        </w:tc>
        <w:tc>
          <w:tcPr>
            <w:tcW w:w="7574" w:type="dxa"/>
          </w:tcPr>
          <w:p w:rsidR="00765A80" w:rsidRDefault="00765A80" w:rsidP="008A7A70">
            <w:pPr>
              <w:cnfStyle w:val="000000100000"/>
            </w:pPr>
            <w:r>
              <w:t>This should be split into two sentences and worded in the same way as for other length fields (e.g. 2.2.3.1.16).</w:t>
            </w:r>
          </w:p>
        </w:tc>
      </w:tr>
      <w:tr w:rsidR="00765A80" w:rsidTr="00652B99">
        <w:tc>
          <w:tcPr>
            <w:cnfStyle w:val="001000000000"/>
            <w:tcW w:w="1668" w:type="dxa"/>
          </w:tcPr>
          <w:p w:rsidR="00765A80" w:rsidRDefault="00765A80" w:rsidP="00765A80">
            <w:r>
              <w:t>§2.3.1.17 ¶3</w:t>
            </w:r>
          </w:p>
        </w:tc>
        <w:tc>
          <w:tcPr>
            <w:tcW w:w="7574" w:type="dxa"/>
          </w:tcPr>
          <w:p w:rsidR="00765A80" w:rsidRDefault="00765A80" w:rsidP="008A7A70">
            <w:pPr>
              <w:cnfStyle w:val="000000000000"/>
            </w:pPr>
            <w:r>
              <w:t>Uses ‘shall’ where elsewhere ‘should’ is used.</w:t>
            </w:r>
          </w:p>
        </w:tc>
      </w:tr>
      <w:tr w:rsidR="009426DD" w:rsidTr="00652B99">
        <w:trPr>
          <w:cnfStyle w:val="000000100000"/>
        </w:trPr>
        <w:tc>
          <w:tcPr>
            <w:cnfStyle w:val="001000000000"/>
            <w:tcW w:w="1668" w:type="dxa"/>
          </w:tcPr>
          <w:p w:rsidR="009426DD" w:rsidRDefault="009426DD" w:rsidP="009426DD">
            <w:r>
              <w:t>§2.3.1.17 ¶3</w:t>
            </w:r>
          </w:p>
        </w:tc>
        <w:tc>
          <w:tcPr>
            <w:tcW w:w="7574" w:type="dxa"/>
          </w:tcPr>
          <w:p w:rsidR="009426DD" w:rsidRDefault="009426DD" w:rsidP="009426DD">
            <w:pPr>
              <w:cnfStyle w:val="000000100000"/>
            </w:pPr>
            <w:r>
              <w:t>Having referred to section 2.2.2, is there any need for the remaining text?</w:t>
            </w:r>
          </w:p>
        </w:tc>
      </w:tr>
      <w:tr w:rsidR="009426DD" w:rsidTr="00652B99">
        <w:tc>
          <w:tcPr>
            <w:cnfStyle w:val="001000000000"/>
            <w:tcW w:w="1668" w:type="dxa"/>
          </w:tcPr>
          <w:p w:rsidR="009426DD" w:rsidRDefault="00551CB4" w:rsidP="00551CB4">
            <w:r>
              <w:t>§3.1 ¶3</w:t>
            </w:r>
          </w:p>
        </w:tc>
        <w:tc>
          <w:tcPr>
            <w:tcW w:w="7574" w:type="dxa"/>
          </w:tcPr>
          <w:p w:rsidR="009426DD" w:rsidRDefault="00551CB4" w:rsidP="00551CB4">
            <w:pPr>
              <w:cnfStyle w:val="000000000000"/>
            </w:pPr>
            <w:r>
              <w:t>For consistency, ‘media set PN’ should be ‘</w:t>
            </w:r>
            <w:r w:rsidRPr="00551CB4">
              <w:rPr>
                <w:b/>
              </w:rPr>
              <w:t>M</w:t>
            </w:r>
            <w:r>
              <w:t xml:space="preserve">edia </w:t>
            </w:r>
            <w:r w:rsidRPr="00551CB4">
              <w:rPr>
                <w:b/>
              </w:rPr>
              <w:t>S</w:t>
            </w:r>
            <w:r>
              <w:t>et PN’.</w:t>
            </w:r>
          </w:p>
        </w:tc>
      </w:tr>
      <w:tr w:rsidR="00551CB4" w:rsidTr="00652B99">
        <w:trPr>
          <w:cnfStyle w:val="000000100000"/>
        </w:trPr>
        <w:tc>
          <w:tcPr>
            <w:cnfStyle w:val="001000000000"/>
            <w:tcW w:w="1668" w:type="dxa"/>
          </w:tcPr>
          <w:p w:rsidR="00551CB4" w:rsidRDefault="00FA498C" w:rsidP="00D613DB">
            <w:r>
              <w:lastRenderedPageBreak/>
              <w:t>Table 3.2.2</w:t>
            </w:r>
            <w:r w:rsidR="00652B99">
              <w:t>.1</w:t>
            </w:r>
            <w:r>
              <w:t>-1</w:t>
            </w:r>
          </w:p>
        </w:tc>
        <w:tc>
          <w:tcPr>
            <w:tcW w:w="7574" w:type="dxa"/>
          </w:tcPr>
          <w:p w:rsidR="00551CB4" w:rsidRPr="00FA498C" w:rsidRDefault="00FA498C" w:rsidP="00D613DB">
            <w:pPr>
              <w:cnfStyle w:val="000000100000"/>
              <w:rPr>
                <w:color w:val="0070C0"/>
              </w:rPr>
            </w:pPr>
            <w:r w:rsidRPr="00FA498C">
              <w:rPr>
                <w:color w:val="0070C0"/>
              </w:rPr>
              <w:t>.BDF and .XDF should be added to this table.</w:t>
            </w:r>
          </w:p>
        </w:tc>
      </w:tr>
      <w:tr w:rsidR="00551CB4" w:rsidTr="00652B99">
        <w:tc>
          <w:tcPr>
            <w:cnfStyle w:val="001000000000"/>
            <w:tcW w:w="1668" w:type="dxa"/>
          </w:tcPr>
          <w:p w:rsidR="00551CB4" w:rsidRDefault="00E651A9" w:rsidP="00D613DB">
            <w:r>
              <w:t>Table 3.2.2</w:t>
            </w:r>
            <w:r w:rsidR="00652B99">
              <w:t>.1</w:t>
            </w:r>
            <w:r>
              <w:t>-1</w:t>
            </w:r>
          </w:p>
        </w:tc>
        <w:tc>
          <w:tcPr>
            <w:tcW w:w="7574" w:type="dxa"/>
          </w:tcPr>
          <w:p w:rsidR="00551CB4" w:rsidRDefault="00E651A9" w:rsidP="00D613DB">
            <w:pPr>
              <w:cnfStyle w:val="000000000000"/>
            </w:pPr>
            <w:r>
              <w:t>The definitions of ‘Download’ files are not consistent with those in ARINC 838. Specifically, ‘</w:t>
            </w:r>
            <w:r w:rsidRPr="00E651A9">
              <w:rPr>
                <w:b/>
              </w:rPr>
              <w:t>D</w:t>
            </w:r>
            <w:r>
              <w:t>own</w:t>
            </w:r>
            <w:r w:rsidRPr="00E651A9">
              <w:rPr>
                <w:b/>
              </w:rPr>
              <w:t>l</w:t>
            </w:r>
            <w:r>
              <w:t>oad’ should be ‘</w:t>
            </w:r>
            <w:proofErr w:type="spellStart"/>
            <w:r w:rsidRPr="00E651A9">
              <w:rPr>
                <w:b/>
              </w:rPr>
              <w:t>d</w:t>
            </w:r>
            <w:r>
              <w:t>own</w:t>
            </w:r>
            <w:r w:rsidRPr="00E651A9">
              <w:rPr>
                <w:b/>
              </w:rPr>
              <w:t>L</w:t>
            </w:r>
            <w:r>
              <w:t>oad</w:t>
            </w:r>
            <w:proofErr w:type="spellEnd"/>
            <w:r>
              <w:t>’ and ‘Disk’ should be ‘Media’.</w:t>
            </w:r>
          </w:p>
        </w:tc>
      </w:tr>
      <w:tr w:rsidR="00E651A9" w:rsidTr="00652B99">
        <w:trPr>
          <w:cnfStyle w:val="000000100000"/>
        </w:trPr>
        <w:tc>
          <w:tcPr>
            <w:cnfStyle w:val="001000000000"/>
            <w:tcW w:w="1668" w:type="dxa"/>
          </w:tcPr>
          <w:p w:rsidR="00E651A9" w:rsidRDefault="00E651A9" w:rsidP="00736757">
            <w:r>
              <w:t>Table 3.2.</w:t>
            </w:r>
            <w:r w:rsidR="00736757">
              <w:t>3</w:t>
            </w:r>
            <w:r w:rsidR="00652B99">
              <w:t>.1</w:t>
            </w:r>
            <w:r>
              <w:t>-1</w:t>
            </w:r>
          </w:p>
        </w:tc>
        <w:tc>
          <w:tcPr>
            <w:tcW w:w="7574" w:type="dxa"/>
          </w:tcPr>
          <w:p w:rsidR="00E651A9" w:rsidRDefault="00736757" w:rsidP="00E651A9">
            <w:pPr>
              <w:cnfStyle w:val="000000100000"/>
            </w:pPr>
            <w:r>
              <w:t>‘+* Target HW ID Length’ is too far indented</w:t>
            </w:r>
            <w:r w:rsidR="00E651A9">
              <w:t>.</w:t>
            </w:r>
          </w:p>
        </w:tc>
      </w:tr>
      <w:tr w:rsidR="00E651A9" w:rsidTr="00652B99">
        <w:tc>
          <w:tcPr>
            <w:cnfStyle w:val="001000000000"/>
            <w:tcW w:w="1668" w:type="dxa"/>
          </w:tcPr>
          <w:p w:rsidR="00E651A9" w:rsidRDefault="004B2437" w:rsidP="00D613DB">
            <w:r>
              <w:t>§3.2.3.1.4 ¶1</w:t>
            </w:r>
          </w:p>
        </w:tc>
        <w:tc>
          <w:tcPr>
            <w:tcW w:w="7574" w:type="dxa"/>
          </w:tcPr>
          <w:p w:rsidR="00E651A9" w:rsidRDefault="004B2437" w:rsidP="004B2437">
            <w:pPr>
              <w:cnfStyle w:val="000000000000"/>
            </w:pPr>
            <w:r>
              <w:rPr>
                <w:color w:val="auto"/>
              </w:rPr>
              <w:t>Why are there double quotes around Media Set PN Length?</w:t>
            </w:r>
          </w:p>
        </w:tc>
      </w:tr>
      <w:tr w:rsidR="004B2437" w:rsidTr="00652B99">
        <w:trPr>
          <w:cnfStyle w:val="000000100000"/>
        </w:trPr>
        <w:tc>
          <w:tcPr>
            <w:cnfStyle w:val="001000000000"/>
            <w:tcW w:w="1668" w:type="dxa"/>
          </w:tcPr>
          <w:p w:rsidR="004B2437" w:rsidRDefault="004B2437" w:rsidP="004B2437">
            <w:r>
              <w:t>§3.2.3.1.5 ¶1</w:t>
            </w:r>
          </w:p>
        </w:tc>
        <w:tc>
          <w:tcPr>
            <w:tcW w:w="7574" w:type="dxa"/>
          </w:tcPr>
          <w:p w:rsidR="004B2437" w:rsidRDefault="004B2437" w:rsidP="004B2437">
            <w:pPr>
              <w:cnfStyle w:val="000000100000"/>
            </w:pPr>
            <w:r>
              <w:rPr>
                <w:color w:val="auto"/>
              </w:rPr>
              <w:t>Why are there double quotes around Number of Loads?</w:t>
            </w:r>
          </w:p>
        </w:tc>
      </w:tr>
      <w:tr w:rsidR="004B2437" w:rsidTr="00652B99">
        <w:tc>
          <w:tcPr>
            <w:cnfStyle w:val="001000000000"/>
            <w:tcW w:w="1668" w:type="dxa"/>
          </w:tcPr>
          <w:p w:rsidR="004B2437" w:rsidRDefault="004B2437" w:rsidP="004B2437">
            <w:r>
              <w:t>§3.2.3.1.6 ¶1</w:t>
            </w:r>
          </w:p>
        </w:tc>
        <w:tc>
          <w:tcPr>
            <w:tcW w:w="7574" w:type="dxa"/>
          </w:tcPr>
          <w:p w:rsidR="004B2437" w:rsidRDefault="004B2437" w:rsidP="004B2437">
            <w:pPr>
              <w:cnfStyle w:val="000000000000"/>
            </w:pPr>
            <w:r>
              <w:rPr>
                <w:color w:val="auto"/>
              </w:rPr>
              <w:t>Why are there double quotes around User Defined Data?</w:t>
            </w:r>
          </w:p>
        </w:tc>
      </w:tr>
      <w:tr w:rsidR="00AE7D0D" w:rsidTr="00652B99">
        <w:trPr>
          <w:cnfStyle w:val="000000100000"/>
        </w:trPr>
        <w:tc>
          <w:tcPr>
            <w:cnfStyle w:val="001000000000"/>
            <w:tcW w:w="1668" w:type="dxa"/>
          </w:tcPr>
          <w:p w:rsidR="00AE7D0D" w:rsidRDefault="00316282" w:rsidP="00F25BB1">
            <w:r>
              <w:t>§3.2.3.1.</w:t>
            </w:r>
            <w:r w:rsidR="00F25BB1">
              <w:t>8</w:t>
            </w:r>
            <w:r>
              <w:t xml:space="preserve"> ¶1</w:t>
            </w:r>
          </w:p>
        </w:tc>
        <w:tc>
          <w:tcPr>
            <w:tcW w:w="7574" w:type="dxa"/>
          </w:tcPr>
          <w:p w:rsidR="00AE7D0D" w:rsidRDefault="00316282" w:rsidP="004B2437">
            <w:pPr>
              <w:cnfStyle w:val="000000100000"/>
            </w:pPr>
            <w:r>
              <w:t>‘</w:t>
            </w:r>
            <w:proofErr w:type="gramStart"/>
            <w:r>
              <w:t>appended</w:t>
            </w:r>
            <w:proofErr w:type="gramEnd"/>
            <w:r>
              <w:t xml:space="preserve"> file’ should be ‘appended </w:t>
            </w:r>
            <w:r w:rsidRPr="00316282">
              <w:rPr>
                <w:b/>
              </w:rPr>
              <w:t>to</w:t>
            </w:r>
            <w:r>
              <w:t xml:space="preserve"> fill’.</w:t>
            </w:r>
          </w:p>
        </w:tc>
      </w:tr>
      <w:tr w:rsidR="00A00CD2" w:rsidTr="00652B99">
        <w:tc>
          <w:tcPr>
            <w:cnfStyle w:val="001000000000"/>
            <w:tcW w:w="1668" w:type="dxa"/>
          </w:tcPr>
          <w:p w:rsidR="00A00CD2" w:rsidRDefault="00A00CD2" w:rsidP="00A00CD2">
            <w:r>
              <w:t>§3.2.3.1.13 ¶2</w:t>
            </w:r>
          </w:p>
        </w:tc>
        <w:tc>
          <w:tcPr>
            <w:tcW w:w="7574" w:type="dxa"/>
          </w:tcPr>
          <w:p w:rsidR="00A00CD2" w:rsidRDefault="00A00CD2" w:rsidP="00A00CD2">
            <w:pPr>
              <w:cnfStyle w:val="000000000000"/>
            </w:pPr>
            <w:r>
              <w:rPr>
                <w:color w:val="auto"/>
              </w:rPr>
              <w:t>Why are there double quotes around Load Pointer?</w:t>
            </w:r>
          </w:p>
        </w:tc>
      </w:tr>
      <w:tr w:rsidR="0071733D" w:rsidTr="00652B99">
        <w:trPr>
          <w:cnfStyle w:val="000000100000"/>
        </w:trPr>
        <w:tc>
          <w:tcPr>
            <w:cnfStyle w:val="001000000000"/>
            <w:tcW w:w="1668" w:type="dxa"/>
          </w:tcPr>
          <w:p w:rsidR="0071733D" w:rsidRDefault="0071733D" w:rsidP="0071733D">
            <w:r>
              <w:t>§3.2.3.1.15 ¶1</w:t>
            </w:r>
          </w:p>
        </w:tc>
        <w:tc>
          <w:tcPr>
            <w:tcW w:w="7574" w:type="dxa"/>
          </w:tcPr>
          <w:p w:rsidR="0071733D" w:rsidRDefault="0071733D" w:rsidP="0071733D">
            <w:pPr>
              <w:cnfStyle w:val="000000100000"/>
            </w:pPr>
            <w:r>
              <w:t>For consistency with 3.2.3.1.21, ‘(ASCII 0x00)’ should be eliminated.</w:t>
            </w:r>
          </w:p>
        </w:tc>
      </w:tr>
      <w:tr w:rsidR="0071733D" w:rsidTr="00652B99">
        <w:tc>
          <w:tcPr>
            <w:cnfStyle w:val="001000000000"/>
            <w:tcW w:w="1668" w:type="dxa"/>
          </w:tcPr>
          <w:p w:rsidR="0071733D" w:rsidRDefault="0071733D" w:rsidP="00EF73B3">
            <w:r>
              <w:t>§3.2.3.1.17 ¶2</w:t>
            </w:r>
          </w:p>
        </w:tc>
        <w:tc>
          <w:tcPr>
            <w:tcW w:w="7574" w:type="dxa"/>
          </w:tcPr>
          <w:p w:rsidR="0071733D" w:rsidRDefault="0071733D" w:rsidP="00EF73B3">
            <w:pPr>
              <w:cnfStyle w:val="000000000000"/>
            </w:pPr>
            <w:r>
              <w:rPr>
                <w:color w:val="auto"/>
              </w:rPr>
              <w:t>Why are there double quotes around Header File Name?</w:t>
            </w:r>
          </w:p>
        </w:tc>
      </w:tr>
      <w:tr w:rsidR="006A16DD" w:rsidTr="00652B99">
        <w:trPr>
          <w:cnfStyle w:val="000000100000"/>
        </w:trPr>
        <w:tc>
          <w:tcPr>
            <w:cnfStyle w:val="001000000000"/>
            <w:tcW w:w="1668" w:type="dxa"/>
          </w:tcPr>
          <w:p w:rsidR="006A16DD" w:rsidRDefault="006A16DD" w:rsidP="006A16DD">
            <w:r>
              <w:t>§3.2.3.1.24 ¶1</w:t>
            </w:r>
          </w:p>
        </w:tc>
        <w:tc>
          <w:tcPr>
            <w:tcW w:w="7574" w:type="dxa"/>
          </w:tcPr>
          <w:p w:rsidR="006A16DD" w:rsidRDefault="006A16DD" w:rsidP="00400B68">
            <w:pPr>
              <w:cnfStyle w:val="000000100000"/>
            </w:pPr>
            <w:r>
              <w:t>Missing ‘if’ at start of second sentence.</w:t>
            </w:r>
          </w:p>
        </w:tc>
      </w:tr>
      <w:tr w:rsidR="00194D3C" w:rsidTr="00652B99">
        <w:tc>
          <w:tcPr>
            <w:cnfStyle w:val="001000000000"/>
            <w:tcW w:w="1668" w:type="dxa"/>
          </w:tcPr>
          <w:p w:rsidR="00194D3C" w:rsidRDefault="00194D3C" w:rsidP="00194D3C">
            <w:r>
              <w:t>§3.2.3.2 ¶4</w:t>
            </w:r>
          </w:p>
        </w:tc>
        <w:tc>
          <w:tcPr>
            <w:tcW w:w="7574" w:type="dxa"/>
          </w:tcPr>
          <w:p w:rsidR="00194D3C" w:rsidRPr="0058485A" w:rsidRDefault="00194D3C" w:rsidP="00194D3C">
            <w:pPr>
              <w:cnfStyle w:val="000000000000"/>
              <w:rPr>
                <w:color w:val="0070C0"/>
              </w:rPr>
            </w:pPr>
            <w:r w:rsidRPr="0058485A">
              <w:rPr>
                <w:color w:val="0070C0"/>
              </w:rPr>
              <w:t>Won’t the ‘FILES.LUM File Check Value’ also vary across media set members?</w:t>
            </w:r>
          </w:p>
        </w:tc>
      </w:tr>
      <w:tr w:rsidR="00194D3C" w:rsidTr="00652B99">
        <w:trPr>
          <w:cnfStyle w:val="000000100000"/>
        </w:trPr>
        <w:tc>
          <w:tcPr>
            <w:cnfStyle w:val="001000000000"/>
            <w:tcW w:w="1668" w:type="dxa"/>
          </w:tcPr>
          <w:p w:rsidR="00194D3C" w:rsidRDefault="00194D3C" w:rsidP="00195F32">
            <w:r>
              <w:t>Table 3.2.3</w:t>
            </w:r>
            <w:r w:rsidR="00652B99">
              <w:t>.2</w:t>
            </w:r>
            <w:r>
              <w:t>-2</w:t>
            </w:r>
          </w:p>
        </w:tc>
        <w:tc>
          <w:tcPr>
            <w:tcW w:w="7574" w:type="dxa"/>
          </w:tcPr>
          <w:p w:rsidR="00194D3C" w:rsidRDefault="00194D3C" w:rsidP="00195F32">
            <w:pPr>
              <w:cnfStyle w:val="000000100000"/>
            </w:pPr>
            <w:r>
              <w:t>‘File’ should be eliminated from ‘Pointer to File Number of Media Set Files’.</w:t>
            </w:r>
          </w:p>
        </w:tc>
      </w:tr>
      <w:tr w:rsidR="00CF1A80" w:rsidTr="00652B99">
        <w:tc>
          <w:tcPr>
            <w:cnfStyle w:val="001000000000"/>
            <w:tcW w:w="1668" w:type="dxa"/>
          </w:tcPr>
          <w:p w:rsidR="00CF1A80" w:rsidRDefault="00CF1A80" w:rsidP="00400B68">
            <w:r>
              <w:t>Table 3.2.3.2-2</w:t>
            </w:r>
          </w:p>
        </w:tc>
        <w:tc>
          <w:tcPr>
            <w:tcW w:w="7574" w:type="dxa"/>
          </w:tcPr>
          <w:p w:rsidR="00CF1A80" w:rsidRDefault="00CF1A80" w:rsidP="00CF1A80">
            <w:pPr>
              <w:cnfStyle w:val="000000000000"/>
            </w:pPr>
            <w:r>
              <w:t>Why does this file contain a field named ‘Sequence No.’ whilst the two others contain a field named ‘Sequence Number’?</w:t>
            </w:r>
          </w:p>
        </w:tc>
      </w:tr>
      <w:tr w:rsidR="00CF1A80" w:rsidTr="00652B99">
        <w:trPr>
          <w:cnfStyle w:val="000000100000"/>
        </w:trPr>
        <w:tc>
          <w:tcPr>
            <w:cnfStyle w:val="001000000000"/>
            <w:tcW w:w="1668" w:type="dxa"/>
          </w:tcPr>
          <w:p w:rsidR="00CF1A80" w:rsidRDefault="00CF1A80" w:rsidP="0029200F">
            <w:r>
              <w:t>§3.2.3.2.14 ¶1</w:t>
            </w:r>
          </w:p>
        </w:tc>
        <w:tc>
          <w:tcPr>
            <w:tcW w:w="7574" w:type="dxa"/>
          </w:tcPr>
          <w:p w:rsidR="00CF1A80" w:rsidRDefault="00CF1A80" w:rsidP="0029200F">
            <w:pPr>
              <w:cnfStyle w:val="000000100000"/>
            </w:pPr>
            <w:r>
              <w:t>Why does the last ‘File’ have a capital ‘F’?</w:t>
            </w:r>
          </w:p>
        </w:tc>
      </w:tr>
      <w:tr w:rsidR="00CF1A80" w:rsidTr="00652B99">
        <w:tc>
          <w:tcPr>
            <w:cnfStyle w:val="001000000000"/>
            <w:tcW w:w="1668" w:type="dxa"/>
          </w:tcPr>
          <w:p w:rsidR="00CF1A80" w:rsidRDefault="00CF1A80" w:rsidP="00C93E56">
            <w:r>
              <w:t>§3.2.3.2.16 ¶2</w:t>
            </w:r>
          </w:p>
        </w:tc>
        <w:tc>
          <w:tcPr>
            <w:tcW w:w="7574" w:type="dxa"/>
          </w:tcPr>
          <w:p w:rsidR="00CF1A80" w:rsidRDefault="00CF1A80" w:rsidP="00400B68">
            <w:pPr>
              <w:cnfStyle w:val="000000000000"/>
            </w:pPr>
            <w:r>
              <w:t>‘</w:t>
            </w:r>
            <w:proofErr w:type="gramStart"/>
            <w:r>
              <w:t>an</w:t>
            </w:r>
            <w:proofErr w:type="gramEnd"/>
            <w:r>
              <w:t xml:space="preserve"> NUL’ should be ‘a NUL’.</w:t>
            </w:r>
          </w:p>
        </w:tc>
      </w:tr>
      <w:tr w:rsidR="00CF1A80" w:rsidTr="00652B99">
        <w:trPr>
          <w:cnfStyle w:val="000000100000"/>
        </w:trPr>
        <w:tc>
          <w:tcPr>
            <w:cnfStyle w:val="001000000000"/>
            <w:tcW w:w="1668" w:type="dxa"/>
          </w:tcPr>
          <w:p w:rsidR="00CF1A80" w:rsidRDefault="00CF1A80" w:rsidP="00EA4C8B">
            <w:r>
              <w:t>§3.2.3.2.16 ¶4</w:t>
            </w:r>
          </w:p>
        </w:tc>
        <w:tc>
          <w:tcPr>
            <w:tcW w:w="7574" w:type="dxa"/>
          </w:tcPr>
          <w:p w:rsidR="00CF1A80" w:rsidRDefault="00CF1A80" w:rsidP="00EA4C8B">
            <w:pPr>
              <w:cnfStyle w:val="000000100000"/>
            </w:pPr>
            <w:r>
              <w:rPr>
                <w:color w:val="auto"/>
              </w:rPr>
              <w:t>Why are there double quotes around File Name?</w:t>
            </w:r>
          </w:p>
        </w:tc>
      </w:tr>
      <w:tr w:rsidR="00CF1A80" w:rsidTr="00652B99">
        <w:tc>
          <w:tcPr>
            <w:cnfStyle w:val="001000000000"/>
            <w:tcW w:w="1668" w:type="dxa"/>
          </w:tcPr>
          <w:p w:rsidR="00CF1A80" w:rsidRDefault="00CF1A80" w:rsidP="00400B68">
            <w:r>
              <w:t>§3.2.3.2.16 ¶4</w:t>
            </w:r>
          </w:p>
        </w:tc>
        <w:tc>
          <w:tcPr>
            <w:tcW w:w="7574" w:type="dxa"/>
          </w:tcPr>
          <w:p w:rsidR="00CF1A80" w:rsidRDefault="00CF1A80" w:rsidP="00400B68">
            <w:pPr>
              <w:cnfStyle w:val="000000000000"/>
            </w:pPr>
            <w:r>
              <w:rPr>
                <w:color w:val="auto"/>
              </w:rPr>
              <w:t>Eliminate surplus ‘File Names.’ at end of paragraph.</w:t>
            </w:r>
          </w:p>
        </w:tc>
      </w:tr>
      <w:tr w:rsidR="00CF1A80" w:rsidTr="00652B99">
        <w:trPr>
          <w:cnfStyle w:val="000000100000"/>
        </w:trPr>
        <w:tc>
          <w:tcPr>
            <w:cnfStyle w:val="001000000000"/>
            <w:tcW w:w="1668" w:type="dxa"/>
          </w:tcPr>
          <w:p w:rsidR="00CF1A80" w:rsidRDefault="00CF1A80" w:rsidP="00071CB2">
            <w:r>
              <w:t>§3.2.3.2.17 ¶1</w:t>
            </w:r>
          </w:p>
        </w:tc>
        <w:tc>
          <w:tcPr>
            <w:tcW w:w="7574" w:type="dxa"/>
          </w:tcPr>
          <w:p w:rsidR="00CF1A80" w:rsidRDefault="00CF1A80" w:rsidP="004B2437">
            <w:pPr>
              <w:cnfStyle w:val="000000100000"/>
            </w:pPr>
            <w:r>
              <w:t>‘File Name’ should be ‘File Pathname’.</w:t>
            </w:r>
          </w:p>
        </w:tc>
      </w:tr>
      <w:tr w:rsidR="00CF1A80" w:rsidTr="00652B99">
        <w:tc>
          <w:tcPr>
            <w:cnfStyle w:val="001000000000"/>
            <w:tcW w:w="1668" w:type="dxa"/>
          </w:tcPr>
          <w:p w:rsidR="00CF1A80" w:rsidRDefault="00CF1A80" w:rsidP="00FD5E12">
            <w:r>
              <w:t>§3.2.3.2.18 ¶3</w:t>
            </w:r>
          </w:p>
        </w:tc>
        <w:tc>
          <w:tcPr>
            <w:tcW w:w="7574" w:type="dxa"/>
          </w:tcPr>
          <w:p w:rsidR="00CF1A80" w:rsidRDefault="00CF1A80" w:rsidP="00FD5E12">
            <w:pPr>
              <w:cnfStyle w:val="000000000000"/>
            </w:pPr>
            <w:r>
              <w:t>‘Pathname’ should always be ‘File Pathname’.</w:t>
            </w:r>
          </w:p>
        </w:tc>
      </w:tr>
      <w:tr w:rsidR="00CF1A80" w:rsidTr="00652B99">
        <w:trPr>
          <w:cnfStyle w:val="000000100000"/>
        </w:trPr>
        <w:tc>
          <w:tcPr>
            <w:cnfStyle w:val="001000000000"/>
            <w:tcW w:w="1668" w:type="dxa"/>
          </w:tcPr>
          <w:p w:rsidR="00CF1A80" w:rsidRDefault="00CF1A80" w:rsidP="0046116C">
            <w:r>
              <w:t>§3.2.3.2.22 ¶1</w:t>
            </w:r>
          </w:p>
        </w:tc>
        <w:tc>
          <w:tcPr>
            <w:tcW w:w="7574" w:type="dxa"/>
          </w:tcPr>
          <w:p w:rsidR="00CF1A80" w:rsidRDefault="00CF1A80" w:rsidP="00400B68">
            <w:pPr>
              <w:cnfStyle w:val="000000100000"/>
            </w:pPr>
            <w:r>
              <w:t>Is it really allowed to set the Check Value Type to zero? Isn’t the correct way to omit a check value to set the Check Value Length to zero?</w:t>
            </w:r>
          </w:p>
        </w:tc>
      </w:tr>
      <w:tr w:rsidR="00CF1A80" w:rsidTr="00652B99">
        <w:tc>
          <w:tcPr>
            <w:cnfStyle w:val="001000000000"/>
            <w:tcW w:w="1668" w:type="dxa"/>
          </w:tcPr>
          <w:p w:rsidR="00CF1A80" w:rsidRDefault="00CF1A80" w:rsidP="0046116C">
            <w:r>
              <w:t>§3.2.3.2.23 ¶1</w:t>
            </w:r>
          </w:p>
        </w:tc>
        <w:tc>
          <w:tcPr>
            <w:tcW w:w="7574" w:type="dxa"/>
          </w:tcPr>
          <w:p w:rsidR="00CF1A80" w:rsidRDefault="00CF1A80" w:rsidP="00400B68">
            <w:pPr>
              <w:cnfStyle w:val="000000000000"/>
            </w:pPr>
            <w:r>
              <w:t>‘</w:t>
            </w:r>
            <w:proofErr w:type="spellStart"/>
            <w:r>
              <w:t>Files.Lum</w:t>
            </w:r>
            <w:proofErr w:type="spellEnd"/>
            <w:r>
              <w:t xml:space="preserve"> File Check Value type’ should be ‘File Check Value </w:t>
            </w:r>
            <w:r w:rsidRPr="0046116C">
              <w:rPr>
                <w:b/>
              </w:rPr>
              <w:t>T</w:t>
            </w:r>
            <w:r>
              <w:t>ype’.</w:t>
            </w:r>
          </w:p>
        </w:tc>
      </w:tr>
      <w:tr w:rsidR="00CF1A80" w:rsidTr="00652B99">
        <w:trPr>
          <w:cnfStyle w:val="000000100000"/>
        </w:trPr>
        <w:tc>
          <w:tcPr>
            <w:cnfStyle w:val="001000000000"/>
            <w:tcW w:w="1668" w:type="dxa"/>
          </w:tcPr>
          <w:p w:rsidR="00CF1A80" w:rsidRDefault="00CF1A80" w:rsidP="003744C5">
            <w:r>
              <w:t>§3.2.3.2.26 ¶1</w:t>
            </w:r>
          </w:p>
        </w:tc>
        <w:tc>
          <w:tcPr>
            <w:tcW w:w="7574" w:type="dxa"/>
          </w:tcPr>
          <w:p w:rsidR="00CF1A80" w:rsidRDefault="00CF1A80" w:rsidP="003744C5">
            <w:pPr>
              <w:cnfStyle w:val="000000100000"/>
            </w:pPr>
            <w:r>
              <w:t>For consistency, ‘pointer’ should be ‘</w:t>
            </w:r>
            <w:r>
              <w:rPr>
                <w:b/>
              </w:rPr>
              <w:t>P</w:t>
            </w:r>
            <w:r w:rsidRPr="003744C5">
              <w:t>ointer</w:t>
            </w:r>
            <w:r>
              <w:t>’.</w:t>
            </w:r>
          </w:p>
        </w:tc>
      </w:tr>
      <w:tr w:rsidR="00CF1A80" w:rsidTr="00652B99">
        <w:tc>
          <w:tcPr>
            <w:cnfStyle w:val="001000000000"/>
            <w:tcW w:w="1668" w:type="dxa"/>
          </w:tcPr>
          <w:p w:rsidR="00CF1A80" w:rsidRDefault="00CF1A80" w:rsidP="00DD0AFE">
            <w:r>
              <w:t>§3.2.3.2.29 ¶1</w:t>
            </w:r>
          </w:p>
        </w:tc>
        <w:tc>
          <w:tcPr>
            <w:tcW w:w="7574" w:type="dxa"/>
          </w:tcPr>
          <w:p w:rsidR="00CF1A80" w:rsidRPr="00880779" w:rsidRDefault="00CF1A80" w:rsidP="00400B68">
            <w:pPr>
              <w:cnfStyle w:val="000000000000"/>
              <w:rPr>
                <w:color w:val="0070C0"/>
              </w:rPr>
            </w:pPr>
            <w:r w:rsidRPr="00880779">
              <w:rPr>
                <w:color w:val="0070C0"/>
              </w:rPr>
              <w:t>This section does not explain how the check value is calculated. Presumably it covers the entire FILES.LUM file up to (but not including) FILES.LUM Check Value Length?</w:t>
            </w:r>
          </w:p>
        </w:tc>
      </w:tr>
      <w:tr w:rsidR="00CF1A80" w:rsidTr="00652B99">
        <w:trPr>
          <w:cnfStyle w:val="000000100000"/>
        </w:trPr>
        <w:tc>
          <w:tcPr>
            <w:cnfStyle w:val="001000000000"/>
            <w:tcW w:w="1668" w:type="dxa"/>
          </w:tcPr>
          <w:p w:rsidR="00CF1A80" w:rsidRDefault="00CF1A80" w:rsidP="004204AD">
            <w:r>
              <w:t>§3.2.3.3 ¶1</w:t>
            </w:r>
          </w:p>
        </w:tc>
        <w:tc>
          <w:tcPr>
            <w:tcW w:w="7574" w:type="dxa"/>
          </w:tcPr>
          <w:p w:rsidR="00CF1A80" w:rsidRDefault="00CF1A80" w:rsidP="004204AD">
            <w:pPr>
              <w:cnfStyle w:val="000000100000"/>
            </w:pPr>
            <w:r>
              <w:t>Why does ‘Optional’ have a capital ‘O’?</w:t>
            </w:r>
          </w:p>
        </w:tc>
      </w:tr>
      <w:tr w:rsidR="00CF1A80" w:rsidTr="00652B99">
        <w:tc>
          <w:tcPr>
            <w:cnfStyle w:val="001000000000"/>
            <w:tcW w:w="1668" w:type="dxa"/>
          </w:tcPr>
          <w:p w:rsidR="00CF1A80" w:rsidRDefault="00CF1A80" w:rsidP="00652B99">
            <w:r>
              <w:t>Table 3.2.3.3-1</w:t>
            </w:r>
          </w:p>
        </w:tc>
        <w:tc>
          <w:tcPr>
            <w:tcW w:w="7574" w:type="dxa"/>
          </w:tcPr>
          <w:p w:rsidR="00CF1A80" w:rsidRDefault="00CF1A80" w:rsidP="00652B99">
            <w:pPr>
              <w:cnfStyle w:val="000000000000"/>
            </w:pPr>
            <w:r>
              <w:t>For consistency, ‘Batch’ should be ‘</w:t>
            </w:r>
            <w:r w:rsidRPr="00652B99">
              <w:t>Batch File</w:t>
            </w:r>
            <w:r>
              <w:t>’ (in the last note).</w:t>
            </w:r>
          </w:p>
        </w:tc>
      </w:tr>
      <w:tr w:rsidR="00CF1A80" w:rsidTr="00652B99">
        <w:trPr>
          <w:cnfStyle w:val="000000100000"/>
        </w:trPr>
        <w:tc>
          <w:tcPr>
            <w:cnfStyle w:val="001000000000"/>
            <w:tcW w:w="1668" w:type="dxa"/>
          </w:tcPr>
          <w:p w:rsidR="00CF1A80" w:rsidRDefault="00CF1A80" w:rsidP="00400B68">
            <w:r>
              <w:t>§3.2.3.3.4 ¶1</w:t>
            </w:r>
          </w:p>
        </w:tc>
        <w:tc>
          <w:tcPr>
            <w:tcW w:w="7574" w:type="dxa"/>
          </w:tcPr>
          <w:p w:rsidR="00CF1A80" w:rsidRDefault="00CF1A80" w:rsidP="00400B68">
            <w:pPr>
              <w:cnfStyle w:val="000000100000"/>
            </w:pPr>
            <w:r>
              <w:t>‘Information’ should be ‘Set PN Length’.</w:t>
            </w:r>
          </w:p>
        </w:tc>
      </w:tr>
      <w:tr w:rsidR="00CF1A80" w:rsidTr="00652B99">
        <w:tc>
          <w:tcPr>
            <w:cnfStyle w:val="001000000000"/>
            <w:tcW w:w="1668" w:type="dxa"/>
          </w:tcPr>
          <w:p w:rsidR="00CF1A80" w:rsidRDefault="00CF1A80" w:rsidP="00403AE7">
            <w:r>
              <w:t>§3.2.3.3.5 ¶1</w:t>
            </w:r>
          </w:p>
        </w:tc>
        <w:tc>
          <w:tcPr>
            <w:tcW w:w="7574" w:type="dxa"/>
          </w:tcPr>
          <w:p w:rsidR="00CF1A80" w:rsidRDefault="00CF1A80" w:rsidP="00403AE7">
            <w:pPr>
              <w:cnfStyle w:val="000000000000"/>
            </w:pPr>
            <w:r>
              <w:t>‘Batch List’ should be ‘Number of Batches’.</w:t>
            </w:r>
          </w:p>
        </w:tc>
      </w:tr>
      <w:tr w:rsidR="00CF1A80" w:rsidTr="00652B99">
        <w:trPr>
          <w:cnfStyle w:val="000000100000"/>
        </w:trPr>
        <w:tc>
          <w:tcPr>
            <w:cnfStyle w:val="001000000000"/>
            <w:tcW w:w="1668" w:type="dxa"/>
          </w:tcPr>
          <w:p w:rsidR="00CF1A80" w:rsidRDefault="00CF1A80" w:rsidP="00403AE7">
            <w:r>
              <w:t>§3.2.3.3.5 ¶1</w:t>
            </w:r>
          </w:p>
        </w:tc>
        <w:tc>
          <w:tcPr>
            <w:tcW w:w="7574" w:type="dxa"/>
          </w:tcPr>
          <w:p w:rsidR="00CF1A80" w:rsidRDefault="00CF1A80" w:rsidP="00403AE7">
            <w:pPr>
              <w:cnfStyle w:val="000000100000"/>
            </w:pPr>
            <w:r>
              <w:rPr>
                <w:color w:val="auto"/>
              </w:rPr>
              <w:t>Why are there double quotes around Number of Batches?</w:t>
            </w:r>
          </w:p>
        </w:tc>
      </w:tr>
      <w:tr w:rsidR="00CF1A80" w:rsidTr="00652B99">
        <w:tc>
          <w:tcPr>
            <w:cnfStyle w:val="001000000000"/>
            <w:tcW w:w="1668" w:type="dxa"/>
          </w:tcPr>
          <w:p w:rsidR="00CF1A80" w:rsidRDefault="00CF1A80" w:rsidP="00403AE7">
            <w:r>
              <w:t>§3.2.3.3.6 ¶1</w:t>
            </w:r>
          </w:p>
        </w:tc>
        <w:tc>
          <w:tcPr>
            <w:tcW w:w="7574" w:type="dxa"/>
          </w:tcPr>
          <w:p w:rsidR="00CF1A80" w:rsidRDefault="00CF1A80" w:rsidP="00403AE7">
            <w:pPr>
              <w:cnfStyle w:val="000000000000"/>
            </w:pPr>
            <w:r>
              <w:rPr>
                <w:color w:val="auto"/>
              </w:rPr>
              <w:t>Why are there double quotes around User Defined Data?</w:t>
            </w:r>
          </w:p>
        </w:tc>
      </w:tr>
      <w:tr w:rsidR="00CF1A80" w:rsidTr="00652B99">
        <w:trPr>
          <w:cnfStyle w:val="000000100000"/>
        </w:trPr>
        <w:tc>
          <w:tcPr>
            <w:cnfStyle w:val="001000000000"/>
            <w:tcW w:w="1668" w:type="dxa"/>
          </w:tcPr>
          <w:p w:rsidR="00CF1A80" w:rsidRDefault="00CF1A80" w:rsidP="00403AE7">
            <w:r>
              <w:t>§3.2.3.3.11 ¶1</w:t>
            </w:r>
          </w:p>
        </w:tc>
        <w:tc>
          <w:tcPr>
            <w:tcW w:w="7574" w:type="dxa"/>
          </w:tcPr>
          <w:p w:rsidR="00CF1A80" w:rsidRDefault="00CF1A80" w:rsidP="00403AE7">
            <w:pPr>
              <w:cnfStyle w:val="000000100000"/>
            </w:pPr>
            <w:r>
              <w:t>Why is this worded slightly differently to the equivalent fields for LOADS.LUM and FILES.LUM?</w:t>
            </w:r>
          </w:p>
        </w:tc>
      </w:tr>
      <w:tr w:rsidR="00CF1A80" w:rsidTr="00652B99">
        <w:tc>
          <w:tcPr>
            <w:cnfStyle w:val="001000000000"/>
            <w:tcW w:w="1668" w:type="dxa"/>
          </w:tcPr>
          <w:p w:rsidR="00CF1A80" w:rsidRDefault="00CF1A80" w:rsidP="00403AE7">
            <w:r>
              <w:t>§3.2.3.3.12 ¶1</w:t>
            </w:r>
          </w:p>
        </w:tc>
        <w:tc>
          <w:tcPr>
            <w:tcW w:w="7574" w:type="dxa"/>
          </w:tcPr>
          <w:p w:rsidR="00CF1A80" w:rsidRDefault="00CF1A80" w:rsidP="00880779">
            <w:pPr>
              <w:cnfStyle w:val="000000000000"/>
            </w:pPr>
            <w:r>
              <w:t>For consistency, ‘Batch List’ should be ‘</w:t>
            </w:r>
            <w:r w:rsidR="00880779">
              <w:rPr>
                <w:b/>
              </w:rPr>
              <w:t>b</w:t>
            </w:r>
            <w:r w:rsidRPr="00403AE7">
              <w:t>atch</w:t>
            </w:r>
            <w:r>
              <w:rPr>
                <w:b/>
              </w:rPr>
              <w:t xml:space="preserve"> </w:t>
            </w:r>
            <w:r w:rsidR="00880779">
              <w:rPr>
                <w:b/>
              </w:rPr>
              <w:t>l</w:t>
            </w:r>
            <w:r w:rsidRPr="00403AE7">
              <w:t>ist</w:t>
            </w:r>
            <w:r>
              <w:t>’.</w:t>
            </w:r>
          </w:p>
        </w:tc>
      </w:tr>
      <w:tr w:rsidR="00CF1A80" w:rsidTr="00652B99">
        <w:trPr>
          <w:cnfStyle w:val="000000100000"/>
        </w:trPr>
        <w:tc>
          <w:tcPr>
            <w:cnfStyle w:val="001000000000"/>
            <w:tcW w:w="1668" w:type="dxa"/>
          </w:tcPr>
          <w:p w:rsidR="00CF1A80" w:rsidRDefault="00CF1A80" w:rsidP="001F1BBD">
            <w:r>
              <w:t>§3.2.3.3.13 ¶1</w:t>
            </w:r>
          </w:p>
        </w:tc>
        <w:tc>
          <w:tcPr>
            <w:tcW w:w="7574" w:type="dxa"/>
          </w:tcPr>
          <w:p w:rsidR="00CF1A80" w:rsidRDefault="00CF1A80" w:rsidP="001F1BBD">
            <w:pPr>
              <w:cnfStyle w:val="000000100000"/>
            </w:pPr>
            <w:r>
              <w:t>For consistency, ‘Batch’ should be ‘</w:t>
            </w:r>
            <w:r w:rsidRPr="001F1BBD">
              <w:t>Batch File</w:t>
            </w:r>
            <w:r>
              <w:t>’.</w:t>
            </w:r>
          </w:p>
        </w:tc>
      </w:tr>
      <w:tr w:rsidR="00CF1A80" w:rsidTr="00652B99">
        <w:tc>
          <w:tcPr>
            <w:cnfStyle w:val="001000000000"/>
            <w:tcW w:w="1668" w:type="dxa"/>
          </w:tcPr>
          <w:p w:rsidR="00CF1A80" w:rsidRDefault="00CF1A80" w:rsidP="006A408F">
            <w:r>
              <w:t>§3.2.3.3.16 ¶1</w:t>
            </w:r>
          </w:p>
        </w:tc>
        <w:tc>
          <w:tcPr>
            <w:tcW w:w="7574" w:type="dxa"/>
          </w:tcPr>
          <w:p w:rsidR="00CF1A80" w:rsidRDefault="00CF1A80" w:rsidP="00400B68">
            <w:pPr>
              <w:cnfStyle w:val="000000000000"/>
            </w:pPr>
            <w:r>
              <w:t>The wording for this section is not consistent with that for other length fields (e.g. 3.2.3.3.14).</w:t>
            </w:r>
          </w:p>
        </w:tc>
      </w:tr>
      <w:tr w:rsidR="00CF1A80" w:rsidTr="00652B99">
        <w:trPr>
          <w:cnfStyle w:val="000000100000"/>
        </w:trPr>
        <w:tc>
          <w:tcPr>
            <w:cnfStyle w:val="001000000000"/>
            <w:tcW w:w="1668" w:type="dxa"/>
          </w:tcPr>
          <w:p w:rsidR="00CF1A80" w:rsidRDefault="00296FE8" w:rsidP="00296FE8">
            <w:r>
              <w:t>§3.2.3.3.18 ¶1</w:t>
            </w:r>
          </w:p>
        </w:tc>
        <w:tc>
          <w:tcPr>
            <w:tcW w:w="7574" w:type="dxa"/>
          </w:tcPr>
          <w:p w:rsidR="00CF1A80" w:rsidRDefault="00296FE8" w:rsidP="00296FE8">
            <w:pPr>
              <w:cnfStyle w:val="000000100000"/>
            </w:pPr>
            <w:r>
              <w:t>Eliminate ‘for this Batch’.</w:t>
            </w:r>
          </w:p>
        </w:tc>
      </w:tr>
      <w:tr w:rsidR="00D11D39" w:rsidTr="00652B99">
        <w:tc>
          <w:tcPr>
            <w:cnfStyle w:val="001000000000"/>
            <w:tcW w:w="1668" w:type="dxa"/>
          </w:tcPr>
          <w:p w:rsidR="00D11D39" w:rsidRDefault="00D11D39" w:rsidP="00D11D39">
            <w:r>
              <w:t>§3.2.3.3.21 ¶1</w:t>
            </w:r>
          </w:p>
        </w:tc>
        <w:tc>
          <w:tcPr>
            <w:tcW w:w="7574" w:type="dxa"/>
          </w:tcPr>
          <w:p w:rsidR="00D11D39" w:rsidRDefault="00D11D39" w:rsidP="00D11D39">
            <w:pPr>
              <w:cnfStyle w:val="000000000000"/>
            </w:pPr>
            <w:r>
              <w:t>Why does this definition differ from that for 3.2.32.26 (which is better)</w:t>
            </w:r>
            <w:proofErr w:type="gramStart"/>
            <w:r>
              <w:t>.</w:t>
            </w:r>
            <w:proofErr w:type="gramEnd"/>
          </w:p>
        </w:tc>
      </w:tr>
      <w:tr w:rsidR="00845002" w:rsidTr="00652B99">
        <w:trPr>
          <w:cnfStyle w:val="000000100000"/>
        </w:trPr>
        <w:tc>
          <w:tcPr>
            <w:cnfStyle w:val="001000000000"/>
            <w:tcW w:w="1668" w:type="dxa"/>
          </w:tcPr>
          <w:p w:rsidR="00845002" w:rsidRDefault="00845002" w:rsidP="00400B68">
            <w:r>
              <w:t>§3.2.4</w:t>
            </w:r>
          </w:p>
        </w:tc>
        <w:tc>
          <w:tcPr>
            <w:tcW w:w="7574" w:type="dxa"/>
          </w:tcPr>
          <w:p w:rsidR="00845002" w:rsidRPr="00DC6736" w:rsidRDefault="00845002" w:rsidP="00845002">
            <w:pPr>
              <w:cnfStyle w:val="000000100000"/>
              <w:rPr>
                <w:color w:val="0070C0"/>
              </w:rPr>
            </w:pPr>
            <w:r>
              <w:rPr>
                <w:color w:val="0070C0"/>
              </w:rPr>
              <w:t>It is not clear (to me) whether it is allowed to split loads across multiple media members. This could be represented by records in the load list that are identical in all respects other than media member sequence number.</w:t>
            </w:r>
          </w:p>
        </w:tc>
      </w:tr>
      <w:tr w:rsidR="00DC6736" w:rsidTr="00652B99">
        <w:tc>
          <w:tcPr>
            <w:cnfStyle w:val="001000000000"/>
            <w:tcW w:w="1668" w:type="dxa"/>
          </w:tcPr>
          <w:p w:rsidR="00DC6736" w:rsidRDefault="00DC6736" w:rsidP="00400B68">
            <w:r>
              <w:t>§3.2.4.1</w:t>
            </w:r>
          </w:p>
        </w:tc>
        <w:tc>
          <w:tcPr>
            <w:tcW w:w="7574" w:type="dxa"/>
          </w:tcPr>
          <w:p w:rsidR="00DC6736" w:rsidRPr="00DC6736" w:rsidRDefault="00DC6736" w:rsidP="00DC6736">
            <w:pPr>
              <w:cnfStyle w:val="000000000000"/>
              <w:rPr>
                <w:color w:val="0070C0"/>
              </w:rPr>
            </w:pPr>
            <w:r w:rsidRPr="00DC6736">
              <w:rPr>
                <w:color w:val="0070C0"/>
              </w:rPr>
              <w:t xml:space="preserve">FILES.LUM contains a member sequence number for each constituent file of the media set. If a file is allowed to exist on many media members, how is this handled in </w:t>
            </w:r>
            <w:proofErr w:type="gramStart"/>
            <w:r w:rsidRPr="00DC6736">
              <w:rPr>
                <w:color w:val="0070C0"/>
              </w:rPr>
              <w:t>FILES.LUM.</w:t>
            </w:r>
            <w:proofErr w:type="gramEnd"/>
            <w:r w:rsidRPr="00DC6736">
              <w:rPr>
                <w:color w:val="0070C0"/>
              </w:rPr>
              <w:t xml:space="preserve"> Are there multiple file ‘records’ which are identical in all respects other than member sequence number? If FILES.LUMs on different media members were allowed to reference different copies of the files, this would be </w:t>
            </w:r>
            <w:r w:rsidRPr="00DC6736">
              <w:rPr>
                <w:color w:val="0070C0"/>
              </w:rPr>
              <w:lastRenderedPageBreak/>
              <w:t>another conflict with the last paragraph of 3.2.3.2.</w:t>
            </w:r>
          </w:p>
        </w:tc>
      </w:tr>
      <w:tr w:rsidR="00DC6736" w:rsidTr="00652B99">
        <w:trPr>
          <w:cnfStyle w:val="000000100000"/>
        </w:trPr>
        <w:tc>
          <w:tcPr>
            <w:cnfStyle w:val="001000000000"/>
            <w:tcW w:w="1668" w:type="dxa"/>
          </w:tcPr>
          <w:p w:rsidR="00DC6736" w:rsidRDefault="00DC6736" w:rsidP="00400B68">
            <w:r>
              <w:lastRenderedPageBreak/>
              <w:t>§3.2.4.1</w:t>
            </w:r>
          </w:p>
        </w:tc>
        <w:tc>
          <w:tcPr>
            <w:tcW w:w="7574" w:type="dxa"/>
          </w:tcPr>
          <w:p w:rsidR="00DC6736" w:rsidRDefault="00DC6736" w:rsidP="00917033">
            <w:pPr>
              <w:cnfStyle w:val="000000100000"/>
            </w:pPr>
            <w:r>
              <w:t>For consistency, ‘load PN’ should be ‘</w:t>
            </w:r>
            <w:r>
              <w:rPr>
                <w:b/>
              </w:rPr>
              <w:t>L</w:t>
            </w:r>
            <w:r w:rsidRPr="00917033">
              <w:t>oad PN’</w:t>
            </w:r>
            <w:r>
              <w:t>.</w:t>
            </w:r>
          </w:p>
        </w:tc>
      </w:tr>
      <w:tr w:rsidR="00DC6736" w:rsidTr="00652B99">
        <w:tc>
          <w:tcPr>
            <w:cnfStyle w:val="001000000000"/>
            <w:tcW w:w="1668" w:type="dxa"/>
          </w:tcPr>
          <w:p w:rsidR="00DC6736" w:rsidRDefault="00400B68" w:rsidP="00904E5C">
            <w:r>
              <w:t>§3.2.4.3 ¶</w:t>
            </w:r>
            <w:r w:rsidR="00904E5C">
              <w:t>2</w:t>
            </w:r>
          </w:p>
        </w:tc>
        <w:tc>
          <w:tcPr>
            <w:tcW w:w="7574" w:type="dxa"/>
          </w:tcPr>
          <w:p w:rsidR="00DC6736" w:rsidRDefault="00904E5C" w:rsidP="00400B68">
            <w:pPr>
              <w:cnfStyle w:val="000000000000"/>
            </w:pPr>
            <w:r>
              <w:t>References should be to 2.2.3.1.34 and 2.2.3.1.47.</w:t>
            </w:r>
          </w:p>
        </w:tc>
      </w:tr>
      <w:tr w:rsidR="003A4E7F" w:rsidTr="00652B99">
        <w:trPr>
          <w:cnfStyle w:val="000000100000"/>
        </w:trPr>
        <w:tc>
          <w:tcPr>
            <w:cnfStyle w:val="001000000000"/>
            <w:tcW w:w="1668" w:type="dxa"/>
          </w:tcPr>
          <w:p w:rsidR="003A4E7F" w:rsidRDefault="003A4E7F" w:rsidP="003A4E7F">
            <w:r>
              <w:t>§4.0</w:t>
            </w:r>
          </w:p>
        </w:tc>
        <w:tc>
          <w:tcPr>
            <w:tcW w:w="7574" w:type="dxa"/>
          </w:tcPr>
          <w:p w:rsidR="003A4E7F" w:rsidRPr="003A4E7F" w:rsidRDefault="003A4E7F" w:rsidP="00400B68">
            <w:pPr>
              <w:cnfStyle w:val="000000100000"/>
              <w:rPr>
                <w:color w:val="0070C0"/>
              </w:rPr>
            </w:pPr>
            <w:r w:rsidRPr="003A4E7F">
              <w:rPr>
                <w:color w:val="0070C0"/>
              </w:rPr>
              <w:t>Should ARINC 665 now support 64-bit CRCs (as does ARINC 838)</w:t>
            </w:r>
            <w:proofErr w:type="gramStart"/>
            <w:r w:rsidRPr="003A4E7F">
              <w:rPr>
                <w:color w:val="0070C0"/>
              </w:rPr>
              <w:t>.</w:t>
            </w:r>
            <w:proofErr w:type="gramEnd"/>
          </w:p>
        </w:tc>
      </w:tr>
      <w:tr w:rsidR="003A4E7F" w:rsidTr="00652B99">
        <w:tc>
          <w:tcPr>
            <w:cnfStyle w:val="001000000000"/>
            <w:tcW w:w="1668" w:type="dxa"/>
          </w:tcPr>
          <w:p w:rsidR="003A4E7F" w:rsidRDefault="003A4E7F" w:rsidP="003A4E7F">
            <w:r>
              <w:t>§4.2 ¶1</w:t>
            </w:r>
          </w:p>
        </w:tc>
        <w:tc>
          <w:tcPr>
            <w:tcW w:w="7574" w:type="dxa"/>
          </w:tcPr>
          <w:p w:rsidR="003A4E7F" w:rsidRDefault="003A4E7F" w:rsidP="00400B68">
            <w:pPr>
              <w:cnfStyle w:val="000000000000"/>
            </w:pPr>
            <w:r>
              <w:t>This amendment does not belong in this section which is about CRCs in general (and barely specific to ARINC 665). It should not mention check values. It is better to cover this material with precision in section 2 rather than repeat it imprecisely here.</w:t>
            </w:r>
          </w:p>
        </w:tc>
      </w:tr>
      <w:tr w:rsidR="008E66ED" w:rsidTr="00652B99">
        <w:trPr>
          <w:cnfStyle w:val="000000100000"/>
        </w:trPr>
        <w:tc>
          <w:tcPr>
            <w:cnfStyle w:val="001000000000"/>
            <w:tcW w:w="1668" w:type="dxa"/>
          </w:tcPr>
          <w:p w:rsidR="008E66ED" w:rsidRDefault="008E66ED" w:rsidP="00B52C56">
            <w:r>
              <w:t xml:space="preserve">Table </w:t>
            </w:r>
            <w:r w:rsidR="00B52C56">
              <w:t>4.3-1</w:t>
            </w:r>
          </w:p>
        </w:tc>
        <w:tc>
          <w:tcPr>
            <w:tcW w:w="7574" w:type="dxa"/>
          </w:tcPr>
          <w:p w:rsidR="008E66ED" w:rsidRPr="00B52C56" w:rsidRDefault="00B52C56" w:rsidP="008E66ED">
            <w:pPr>
              <w:cnfStyle w:val="000000100000"/>
              <w:rPr>
                <w:color w:val="auto"/>
              </w:rPr>
            </w:pPr>
            <w:r>
              <w:rPr>
                <w:color w:val="auto"/>
              </w:rPr>
              <w:t>In the note below the table, ‘and’ should be ‘any’ and ‘</w:t>
            </w:r>
            <w:proofErr w:type="spellStart"/>
            <w:r>
              <w:rPr>
                <w:color w:val="auto"/>
              </w:rPr>
              <w:t>algorithym</w:t>
            </w:r>
            <w:proofErr w:type="spellEnd"/>
            <w:r>
              <w:rPr>
                <w:color w:val="auto"/>
              </w:rPr>
              <w:t>’ should be ‘algorithm’.</w:t>
            </w:r>
          </w:p>
        </w:tc>
      </w:tr>
      <w:tr w:rsidR="006D7316" w:rsidTr="00652B99">
        <w:tc>
          <w:tcPr>
            <w:cnfStyle w:val="001000000000"/>
            <w:tcW w:w="1668" w:type="dxa"/>
          </w:tcPr>
          <w:p w:rsidR="006D7316" w:rsidRDefault="006D7316" w:rsidP="006D7316">
            <w:r>
              <w:t>§5.1 ¶2</w:t>
            </w:r>
          </w:p>
        </w:tc>
        <w:tc>
          <w:tcPr>
            <w:tcW w:w="7574" w:type="dxa"/>
          </w:tcPr>
          <w:p w:rsidR="006D7316" w:rsidRPr="006D7316" w:rsidRDefault="006D7316" w:rsidP="003C635E">
            <w:pPr>
              <w:cnfStyle w:val="000000000000"/>
              <w:rPr>
                <w:color w:val="0070C0"/>
              </w:rPr>
            </w:pPr>
            <w:r w:rsidRPr="006D7316">
              <w:rPr>
                <w:color w:val="0070C0"/>
              </w:rPr>
              <w:t xml:space="preserve">Check value length and check value type are both in fact 16-bit words (allowing 65535 check value </w:t>
            </w:r>
            <w:r w:rsidRPr="006D7316">
              <w:rPr>
                <w:b/>
                <w:color w:val="0070C0"/>
              </w:rPr>
              <w:t>type</w:t>
            </w:r>
            <w:r w:rsidRPr="006D7316">
              <w:rPr>
                <w:color w:val="0070C0"/>
              </w:rPr>
              <w:t>s!).</w:t>
            </w:r>
          </w:p>
        </w:tc>
      </w:tr>
      <w:tr w:rsidR="006D7316" w:rsidTr="00652B99">
        <w:trPr>
          <w:cnfStyle w:val="000000100000"/>
        </w:trPr>
        <w:tc>
          <w:tcPr>
            <w:cnfStyle w:val="001000000000"/>
            <w:tcW w:w="1668" w:type="dxa"/>
          </w:tcPr>
          <w:p w:rsidR="006D7316" w:rsidRDefault="006D7316" w:rsidP="006D7316">
            <w:r>
              <w:t>§5.1 ¶3</w:t>
            </w:r>
          </w:p>
        </w:tc>
        <w:tc>
          <w:tcPr>
            <w:tcW w:w="7574" w:type="dxa"/>
          </w:tcPr>
          <w:p w:rsidR="006D7316" w:rsidRPr="006D7316" w:rsidRDefault="006D7316" w:rsidP="003C635E">
            <w:pPr>
              <w:cnfStyle w:val="000000100000"/>
              <w:rPr>
                <w:color w:val="auto"/>
              </w:rPr>
            </w:pPr>
            <w:r>
              <w:rPr>
                <w:color w:val="auto"/>
              </w:rPr>
              <w:t xml:space="preserve">‘“Big </w:t>
            </w:r>
            <w:proofErr w:type="spellStart"/>
            <w:r>
              <w:rPr>
                <w:color w:val="auto"/>
              </w:rPr>
              <w:t>Endian</w:t>
            </w:r>
            <w:proofErr w:type="spellEnd"/>
            <w:r>
              <w:rPr>
                <w:color w:val="auto"/>
              </w:rPr>
              <w:t xml:space="preserve">”’ should be ‘big </w:t>
            </w:r>
            <w:proofErr w:type="spellStart"/>
            <w:r>
              <w:rPr>
                <w:color w:val="auto"/>
              </w:rPr>
              <w:t>endian</w:t>
            </w:r>
            <w:proofErr w:type="spellEnd"/>
            <w:r>
              <w:rPr>
                <w:color w:val="auto"/>
              </w:rPr>
              <w:t>’.</w:t>
            </w:r>
          </w:p>
        </w:tc>
      </w:tr>
      <w:tr w:rsidR="003C635E" w:rsidTr="00652B99">
        <w:tc>
          <w:tcPr>
            <w:cnfStyle w:val="001000000000"/>
            <w:tcW w:w="1668" w:type="dxa"/>
          </w:tcPr>
          <w:p w:rsidR="003C635E" w:rsidRDefault="006D7316" w:rsidP="006D7316">
            <w:r>
              <w:t>§5.2</w:t>
            </w:r>
          </w:p>
        </w:tc>
        <w:tc>
          <w:tcPr>
            <w:tcW w:w="7574" w:type="dxa"/>
          </w:tcPr>
          <w:p w:rsidR="003C635E" w:rsidRPr="008E66ED" w:rsidRDefault="003C635E" w:rsidP="00446B82">
            <w:pPr>
              <w:cnfStyle w:val="000000000000"/>
              <w:rPr>
                <w:color w:val="0070C0"/>
              </w:rPr>
            </w:pPr>
            <w:r w:rsidRPr="008E66ED">
              <w:rPr>
                <w:color w:val="0070C0"/>
              </w:rPr>
              <w:t xml:space="preserve">Given that section 4.3.1 </w:t>
            </w:r>
            <w:r>
              <w:rPr>
                <w:color w:val="0070C0"/>
              </w:rPr>
              <w:t xml:space="preserve">and 4.3.2 now preclude the use of </w:t>
            </w:r>
            <w:r w:rsidRPr="008E66ED">
              <w:rPr>
                <w:color w:val="0070C0"/>
              </w:rPr>
              <w:t>8-bit CRC</w:t>
            </w:r>
            <w:r>
              <w:rPr>
                <w:color w:val="0070C0"/>
              </w:rPr>
              <w:t>s</w:t>
            </w:r>
            <w:r w:rsidRPr="008E66ED">
              <w:rPr>
                <w:color w:val="0070C0"/>
              </w:rPr>
              <w:t xml:space="preserve"> </w:t>
            </w:r>
            <w:r>
              <w:rPr>
                <w:color w:val="0070C0"/>
              </w:rPr>
              <w:t xml:space="preserve">and 16-bit CRCs as check value types, why are they still </w:t>
            </w:r>
            <w:r w:rsidRPr="008E66ED">
              <w:rPr>
                <w:color w:val="0070C0"/>
              </w:rPr>
              <w:t>allowed check value type</w:t>
            </w:r>
            <w:r>
              <w:rPr>
                <w:color w:val="0070C0"/>
              </w:rPr>
              <w:t>s</w:t>
            </w:r>
            <w:r w:rsidRPr="008E66ED">
              <w:rPr>
                <w:color w:val="0070C0"/>
              </w:rPr>
              <w:t xml:space="preserve">? Shouldn’t it be pointed out that </w:t>
            </w:r>
            <w:r>
              <w:rPr>
                <w:color w:val="0070C0"/>
              </w:rPr>
              <w:t>these are</w:t>
            </w:r>
            <w:r w:rsidRPr="008E66ED">
              <w:rPr>
                <w:color w:val="0070C0"/>
              </w:rPr>
              <w:t xml:space="preserve"> now </w:t>
            </w:r>
            <w:r w:rsidR="00446B82">
              <w:rPr>
                <w:color w:val="0070C0"/>
              </w:rPr>
              <w:t>deprecated</w:t>
            </w:r>
            <w:r w:rsidRPr="008E66ED">
              <w:rPr>
                <w:color w:val="0070C0"/>
              </w:rPr>
              <w:t xml:space="preserve"> and merely included for backwards compatibility?</w:t>
            </w:r>
          </w:p>
        </w:tc>
      </w:tr>
      <w:tr w:rsidR="00446B82" w:rsidTr="00652B99">
        <w:trPr>
          <w:cnfStyle w:val="000000100000"/>
        </w:trPr>
        <w:tc>
          <w:tcPr>
            <w:cnfStyle w:val="001000000000"/>
            <w:tcW w:w="1668" w:type="dxa"/>
          </w:tcPr>
          <w:p w:rsidR="00446B82" w:rsidRDefault="00446B82" w:rsidP="00E33E82">
            <w:r>
              <w:t>§5.2</w:t>
            </w:r>
          </w:p>
        </w:tc>
        <w:tc>
          <w:tcPr>
            <w:tcW w:w="7574" w:type="dxa"/>
          </w:tcPr>
          <w:p w:rsidR="00446B82" w:rsidRPr="008E66ED" w:rsidRDefault="00446B82" w:rsidP="00E33E82">
            <w:pPr>
              <w:cnfStyle w:val="000000100000"/>
              <w:rPr>
                <w:color w:val="0070C0"/>
              </w:rPr>
            </w:pPr>
            <w:r>
              <w:rPr>
                <w:color w:val="0070C0"/>
              </w:rPr>
              <w:t xml:space="preserve">In ARINC 838 we decided to support 64-bit CRC, two new SHA-2 variants and to deprecate </w:t>
            </w:r>
            <w:r w:rsidR="00593EFD">
              <w:rPr>
                <w:color w:val="0070C0"/>
              </w:rPr>
              <w:t xml:space="preserve">the use of </w:t>
            </w:r>
            <w:r>
              <w:rPr>
                <w:color w:val="0070C0"/>
              </w:rPr>
              <w:t>MD5. Should we do the same here?</w:t>
            </w:r>
          </w:p>
        </w:tc>
      </w:tr>
      <w:tr w:rsidR="00446B82" w:rsidTr="00652B99">
        <w:tc>
          <w:tcPr>
            <w:cnfStyle w:val="001000000000"/>
            <w:tcW w:w="1668" w:type="dxa"/>
          </w:tcPr>
          <w:p w:rsidR="00446B82" w:rsidRDefault="00446B82" w:rsidP="006D7316">
            <w:r>
              <w:t>§5.2 ¶1</w:t>
            </w:r>
          </w:p>
        </w:tc>
        <w:tc>
          <w:tcPr>
            <w:tcW w:w="7574" w:type="dxa"/>
          </w:tcPr>
          <w:p w:rsidR="00446B82" w:rsidRPr="006D7316" w:rsidRDefault="00446B82" w:rsidP="006D7316">
            <w:pPr>
              <w:cnfStyle w:val="000000000000"/>
              <w:rPr>
                <w:color w:val="auto"/>
              </w:rPr>
            </w:pPr>
            <w:r>
              <w:rPr>
                <w:color w:val="auto"/>
              </w:rPr>
              <w:t>‘</w:t>
            </w:r>
            <w:proofErr w:type="gramStart"/>
            <w:r>
              <w:rPr>
                <w:color w:val="auto"/>
              </w:rPr>
              <w:t>that</w:t>
            </w:r>
            <w:proofErr w:type="gramEnd"/>
            <w:r>
              <w:rPr>
                <w:color w:val="auto"/>
              </w:rPr>
              <w:t xml:space="preserve"> the LSP of BFP part numbers’ should be ‘than LSP or BFP part numbers’.</w:t>
            </w:r>
          </w:p>
        </w:tc>
      </w:tr>
      <w:tr w:rsidR="00446B82" w:rsidTr="00652B99">
        <w:trPr>
          <w:cnfStyle w:val="000000100000"/>
        </w:trPr>
        <w:tc>
          <w:tcPr>
            <w:cnfStyle w:val="001000000000"/>
            <w:tcW w:w="1668" w:type="dxa"/>
          </w:tcPr>
          <w:p w:rsidR="00446B82" w:rsidRDefault="00446B82" w:rsidP="007320EE">
            <w:r>
              <w:t>§5.2 ¶2</w:t>
            </w:r>
          </w:p>
        </w:tc>
        <w:tc>
          <w:tcPr>
            <w:tcW w:w="7574" w:type="dxa"/>
          </w:tcPr>
          <w:p w:rsidR="00446B82" w:rsidRDefault="00446B82" w:rsidP="007320EE">
            <w:pPr>
              <w:cnfStyle w:val="000000100000"/>
            </w:pPr>
            <w:r>
              <w:t>‘8-bit Words’ should be ‘8-bit Bytes’ (or just ‘Bytes’).</w:t>
            </w:r>
          </w:p>
        </w:tc>
      </w:tr>
      <w:tr w:rsidR="00446B82" w:rsidTr="00652B99">
        <w:tc>
          <w:tcPr>
            <w:cnfStyle w:val="001000000000"/>
            <w:tcW w:w="1668" w:type="dxa"/>
          </w:tcPr>
          <w:p w:rsidR="00446B82" w:rsidRDefault="0068656D" w:rsidP="006A408F">
            <w:r>
              <w:t>Figure A-1</w:t>
            </w:r>
          </w:p>
        </w:tc>
        <w:tc>
          <w:tcPr>
            <w:tcW w:w="7574" w:type="dxa"/>
          </w:tcPr>
          <w:p w:rsidR="00446B82" w:rsidRDefault="0068656D" w:rsidP="00400B68">
            <w:pPr>
              <w:cnfStyle w:val="000000000000"/>
            </w:pPr>
            <w:r>
              <w:t>The Header File block is now quite out of date and does not include features added in later standard versions (e.g. load type, check values).</w:t>
            </w:r>
          </w:p>
        </w:tc>
      </w:tr>
      <w:tr w:rsidR="00A93E98" w:rsidTr="00652B99">
        <w:trPr>
          <w:cnfStyle w:val="000000100000"/>
        </w:trPr>
        <w:tc>
          <w:tcPr>
            <w:cnfStyle w:val="001000000000"/>
            <w:tcW w:w="1668" w:type="dxa"/>
          </w:tcPr>
          <w:p w:rsidR="00A93E98" w:rsidRDefault="00A93E98" w:rsidP="00E33E82">
            <w:r>
              <w:t>Figure A-1</w:t>
            </w:r>
          </w:p>
        </w:tc>
        <w:tc>
          <w:tcPr>
            <w:tcW w:w="7574" w:type="dxa"/>
          </w:tcPr>
          <w:p w:rsidR="00A93E98" w:rsidRDefault="00A93E98" w:rsidP="00E33E82">
            <w:pPr>
              <w:cnfStyle w:val="000000100000"/>
            </w:pPr>
            <w:r>
              <w:t>16-bit words are no longer mandated.</w:t>
            </w:r>
          </w:p>
        </w:tc>
      </w:tr>
      <w:tr w:rsidR="00A93E98" w:rsidTr="00652B99">
        <w:tc>
          <w:tcPr>
            <w:cnfStyle w:val="001000000000"/>
            <w:tcW w:w="1668" w:type="dxa"/>
          </w:tcPr>
          <w:p w:rsidR="00A93E98" w:rsidRDefault="00A93E98" w:rsidP="00E33E82">
            <w:r>
              <w:t>Figure A-1</w:t>
            </w:r>
          </w:p>
        </w:tc>
        <w:tc>
          <w:tcPr>
            <w:tcW w:w="7574" w:type="dxa"/>
          </w:tcPr>
          <w:p w:rsidR="00A93E98" w:rsidRDefault="00A93E98" w:rsidP="00E33E82">
            <w:pPr>
              <w:cnfStyle w:val="000000000000"/>
            </w:pPr>
            <w:r>
              <w:t>The typical names for data files and support files do not seem to match the rest of the document. In practice</w:t>
            </w:r>
            <w:r w:rsidR="00880779">
              <w:t>,</w:t>
            </w:r>
            <w:r>
              <w:t xml:space="preserve"> are these types of file names really ‘typical’?</w:t>
            </w:r>
          </w:p>
        </w:tc>
      </w:tr>
      <w:tr w:rsidR="00845002" w:rsidTr="00652B99">
        <w:trPr>
          <w:cnfStyle w:val="000000100000"/>
        </w:trPr>
        <w:tc>
          <w:tcPr>
            <w:cnfStyle w:val="001000000000"/>
            <w:tcW w:w="1668" w:type="dxa"/>
          </w:tcPr>
          <w:p w:rsidR="00845002" w:rsidRDefault="00845002" w:rsidP="00845002">
            <w:r>
              <w:t>Figure B-1</w:t>
            </w:r>
          </w:p>
        </w:tc>
        <w:tc>
          <w:tcPr>
            <w:tcW w:w="7574" w:type="dxa"/>
          </w:tcPr>
          <w:p w:rsidR="00845002" w:rsidRDefault="00845002" w:rsidP="00845002">
            <w:pPr>
              <w:cnfStyle w:val="000000100000"/>
            </w:pPr>
            <w:r>
              <w:t xml:space="preserve">Shouldn’t this figure show a different set of loads on the two media members? </w:t>
            </w:r>
          </w:p>
        </w:tc>
      </w:tr>
      <w:tr w:rsidR="00B5759B" w:rsidTr="00652B99">
        <w:tc>
          <w:tcPr>
            <w:cnfStyle w:val="001000000000"/>
            <w:tcW w:w="1668" w:type="dxa"/>
          </w:tcPr>
          <w:p w:rsidR="00B5759B" w:rsidRDefault="00B5759B" w:rsidP="00E33E82">
            <w:r>
              <w:t>Figure B-1</w:t>
            </w:r>
          </w:p>
        </w:tc>
        <w:tc>
          <w:tcPr>
            <w:tcW w:w="7574" w:type="dxa"/>
          </w:tcPr>
          <w:p w:rsidR="00B5759B" w:rsidRDefault="00B5759B" w:rsidP="00E33E82">
            <w:pPr>
              <w:cnfStyle w:val="000000000000"/>
            </w:pPr>
            <w:r>
              <w:t xml:space="preserve">Why ‘Header for LOAD #1’ but ‘HEADER FILE LOAD #N’? </w:t>
            </w:r>
          </w:p>
        </w:tc>
      </w:tr>
      <w:tr w:rsidR="00A70BF7" w:rsidTr="00652B99">
        <w:trPr>
          <w:cnfStyle w:val="000000100000"/>
        </w:trPr>
        <w:tc>
          <w:tcPr>
            <w:cnfStyle w:val="001000000000"/>
            <w:tcW w:w="1668" w:type="dxa"/>
          </w:tcPr>
          <w:p w:rsidR="00A70BF7" w:rsidRDefault="00A70BF7" w:rsidP="00E33E82">
            <w:r>
              <w:t>Figure B-1</w:t>
            </w:r>
          </w:p>
        </w:tc>
        <w:tc>
          <w:tcPr>
            <w:tcW w:w="7574" w:type="dxa"/>
          </w:tcPr>
          <w:p w:rsidR="00A70BF7" w:rsidRDefault="00A70BF7" w:rsidP="00A70BF7">
            <w:pPr>
              <w:cnfStyle w:val="000000100000"/>
            </w:pPr>
            <w:r>
              <w:t xml:space="preserve">Why is ARINC 615A-3 referenced here? </w:t>
            </w:r>
          </w:p>
        </w:tc>
      </w:tr>
      <w:tr w:rsidR="00A70BF7" w:rsidTr="00652B99">
        <w:tc>
          <w:tcPr>
            <w:cnfStyle w:val="001000000000"/>
            <w:tcW w:w="1668" w:type="dxa"/>
          </w:tcPr>
          <w:p w:rsidR="00A70BF7" w:rsidRDefault="00A70BF7" w:rsidP="00E33E82">
            <w:r>
              <w:t>Figure B-1</w:t>
            </w:r>
          </w:p>
        </w:tc>
        <w:tc>
          <w:tcPr>
            <w:tcW w:w="7574" w:type="dxa"/>
          </w:tcPr>
          <w:p w:rsidR="00A70BF7" w:rsidRDefault="00A70BF7" w:rsidP="00404B4E">
            <w:pPr>
              <w:cnfStyle w:val="000000000000"/>
            </w:pPr>
            <w:r>
              <w:t xml:space="preserve">The figure implies that LOADS.LUM and FILES.LUM are identical on all </w:t>
            </w:r>
            <w:r w:rsidR="00404B4E">
              <w:t>media</w:t>
            </w:r>
            <w:r>
              <w:t xml:space="preserve"> members when they are not</w:t>
            </w:r>
            <w:r w:rsidR="004616FC">
              <w:t xml:space="preserve"> (because they include media sequence number)</w:t>
            </w:r>
            <w:r>
              <w:t xml:space="preserve">. </w:t>
            </w:r>
          </w:p>
        </w:tc>
      </w:tr>
      <w:tr w:rsidR="00BE1EFB" w:rsidTr="00652B99">
        <w:trPr>
          <w:cnfStyle w:val="000000100000"/>
        </w:trPr>
        <w:tc>
          <w:tcPr>
            <w:cnfStyle w:val="001000000000"/>
            <w:tcW w:w="1668" w:type="dxa"/>
          </w:tcPr>
          <w:p w:rsidR="00BE1EFB" w:rsidRDefault="00BE1EFB" w:rsidP="00BE1EFB">
            <w:r>
              <w:t>Figure C-1</w:t>
            </w:r>
          </w:p>
        </w:tc>
        <w:tc>
          <w:tcPr>
            <w:tcW w:w="7574" w:type="dxa"/>
          </w:tcPr>
          <w:p w:rsidR="00BE1EFB" w:rsidRDefault="00BE1EFB" w:rsidP="00880779">
            <w:pPr>
              <w:cnfStyle w:val="000000100000"/>
            </w:pPr>
            <w:r>
              <w:t xml:space="preserve">Why </w:t>
            </w:r>
            <w:r w:rsidR="00880779">
              <w:t>are</w:t>
            </w:r>
            <w:r>
              <w:t xml:space="preserve"> </w:t>
            </w:r>
            <w:r w:rsidR="00143C54">
              <w:t>‘</w:t>
            </w:r>
            <w:r>
              <w:t>PN</w:t>
            </w:r>
            <w:r w:rsidR="00143C54">
              <w:t>’</w:t>
            </w:r>
            <w:r>
              <w:t xml:space="preserve"> </w:t>
            </w:r>
            <w:r w:rsidR="00143C54">
              <w:t xml:space="preserve">and </w:t>
            </w:r>
            <w:proofErr w:type="gramStart"/>
            <w:r w:rsidR="00143C54">
              <w:t>some ‘s’</w:t>
            </w:r>
            <w:proofErr w:type="gramEnd"/>
            <w:r w:rsidR="00143C54">
              <w:t xml:space="preserve"> characters </w:t>
            </w:r>
            <w:r>
              <w:t xml:space="preserve">in bold italics? </w:t>
            </w:r>
          </w:p>
        </w:tc>
      </w:tr>
      <w:tr w:rsidR="00592D81" w:rsidTr="00652B99">
        <w:tc>
          <w:tcPr>
            <w:cnfStyle w:val="001000000000"/>
            <w:tcW w:w="1668" w:type="dxa"/>
          </w:tcPr>
          <w:p w:rsidR="00592D81" w:rsidRDefault="00592D81" w:rsidP="00E33E82">
            <w:r>
              <w:t>Figure C-1</w:t>
            </w:r>
          </w:p>
        </w:tc>
        <w:tc>
          <w:tcPr>
            <w:tcW w:w="7574" w:type="dxa"/>
          </w:tcPr>
          <w:p w:rsidR="00592D81" w:rsidRDefault="00592D81" w:rsidP="00E33E82">
            <w:pPr>
              <w:cnfStyle w:val="000000000000"/>
            </w:pPr>
            <w:r>
              <w:t>‘Number of Target HW ID with Position’ should be ‘Number of Target HW ID with Position</w:t>
            </w:r>
            <w:r w:rsidRPr="00592D81">
              <w:rPr>
                <w:b/>
              </w:rPr>
              <w:t>s</w:t>
            </w:r>
            <w:r>
              <w:t>’.</w:t>
            </w:r>
          </w:p>
        </w:tc>
      </w:tr>
      <w:tr w:rsidR="00355B0F" w:rsidTr="00652B99">
        <w:trPr>
          <w:cnfStyle w:val="000000100000"/>
        </w:trPr>
        <w:tc>
          <w:tcPr>
            <w:cnfStyle w:val="001000000000"/>
            <w:tcW w:w="1668" w:type="dxa"/>
          </w:tcPr>
          <w:p w:rsidR="00355B0F" w:rsidRDefault="00355B0F" w:rsidP="00E33E82">
            <w:r>
              <w:t>Figure C-1</w:t>
            </w:r>
          </w:p>
        </w:tc>
        <w:tc>
          <w:tcPr>
            <w:tcW w:w="7574" w:type="dxa"/>
          </w:tcPr>
          <w:p w:rsidR="00355B0F" w:rsidRDefault="00355B0F" w:rsidP="00E33E82">
            <w:pPr>
              <w:cnfStyle w:val="000000100000"/>
            </w:pPr>
            <w:r>
              <w:t>There should be a bold table boundary above ‘Number of Data Files’ and no blank row above ‘Number of Support Files’.</w:t>
            </w:r>
          </w:p>
        </w:tc>
      </w:tr>
      <w:tr w:rsidR="00171750" w:rsidTr="00652B99">
        <w:tc>
          <w:tcPr>
            <w:cnfStyle w:val="001000000000"/>
            <w:tcW w:w="1668" w:type="dxa"/>
          </w:tcPr>
          <w:p w:rsidR="00171750" w:rsidRDefault="00171750" w:rsidP="00171750">
            <w:r>
              <w:t>Figure C-4</w:t>
            </w:r>
          </w:p>
        </w:tc>
        <w:tc>
          <w:tcPr>
            <w:tcW w:w="7574" w:type="dxa"/>
          </w:tcPr>
          <w:p w:rsidR="00171750" w:rsidRDefault="00171750" w:rsidP="00E33E82">
            <w:pPr>
              <w:cnfStyle w:val="000000000000"/>
            </w:pPr>
            <w:r>
              <w:rPr>
                <w:color w:val="auto"/>
              </w:rPr>
              <w:t>‘Pointer to Media Information’ should be ‘Pointer to Media Set PN Length’.</w:t>
            </w:r>
          </w:p>
        </w:tc>
      </w:tr>
      <w:tr w:rsidR="00E76BD8" w:rsidTr="00652B99">
        <w:trPr>
          <w:cnfStyle w:val="000000100000"/>
        </w:trPr>
        <w:tc>
          <w:tcPr>
            <w:cnfStyle w:val="001000000000"/>
            <w:tcW w:w="1668" w:type="dxa"/>
          </w:tcPr>
          <w:p w:rsidR="00E76BD8" w:rsidRDefault="00E76BD8" w:rsidP="00E33E82">
            <w:r>
              <w:t>Figure C-4</w:t>
            </w:r>
          </w:p>
        </w:tc>
        <w:tc>
          <w:tcPr>
            <w:tcW w:w="7574" w:type="dxa"/>
          </w:tcPr>
          <w:p w:rsidR="00E76BD8" w:rsidRDefault="00E76BD8" w:rsidP="00E76BD8">
            <w:pPr>
              <w:cnfStyle w:val="000000100000"/>
            </w:pPr>
            <w:r>
              <w:rPr>
                <w:color w:val="auto"/>
              </w:rPr>
              <w:t>‘Pointer to Load List’ should be ‘Pointer to Number of Loads’.</w:t>
            </w:r>
          </w:p>
        </w:tc>
      </w:tr>
      <w:tr w:rsidR="00D81C4A" w:rsidTr="00652B99">
        <w:tc>
          <w:tcPr>
            <w:cnfStyle w:val="001000000000"/>
            <w:tcW w:w="1668" w:type="dxa"/>
          </w:tcPr>
          <w:p w:rsidR="00D81C4A" w:rsidRDefault="00D81C4A" w:rsidP="00D81C4A">
            <w:r>
              <w:t>Figure C-5</w:t>
            </w:r>
          </w:p>
        </w:tc>
        <w:tc>
          <w:tcPr>
            <w:tcW w:w="7574" w:type="dxa"/>
          </w:tcPr>
          <w:p w:rsidR="00D81C4A" w:rsidRDefault="00D81C4A" w:rsidP="00E33E82">
            <w:pPr>
              <w:cnfStyle w:val="000000000000"/>
            </w:pPr>
            <w:r>
              <w:rPr>
                <w:color w:val="auto"/>
              </w:rPr>
              <w:t>‘Pointer to Media Information’ should be ‘Pointer to Media Set PN Length’.</w:t>
            </w:r>
          </w:p>
        </w:tc>
      </w:tr>
      <w:tr w:rsidR="00D81C4A" w:rsidTr="00652B99">
        <w:trPr>
          <w:cnfStyle w:val="000000100000"/>
        </w:trPr>
        <w:tc>
          <w:tcPr>
            <w:cnfStyle w:val="001000000000"/>
            <w:tcW w:w="1668" w:type="dxa"/>
          </w:tcPr>
          <w:p w:rsidR="00D81C4A" w:rsidRDefault="00D81C4A" w:rsidP="00D81C4A">
            <w:r>
              <w:t>Figure C-5</w:t>
            </w:r>
          </w:p>
        </w:tc>
        <w:tc>
          <w:tcPr>
            <w:tcW w:w="7574" w:type="dxa"/>
          </w:tcPr>
          <w:p w:rsidR="00D81C4A" w:rsidRDefault="00D81C4A" w:rsidP="00D81C4A">
            <w:pPr>
              <w:cnfStyle w:val="000000100000"/>
            </w:pPr>
            <w:r>
              <w:rPr>
                <w:color w:val="auto"/>
              </w:rPr>
              <w:t>‘Pointer to File List’ should be ‘Pointer to Number of Files’.</w:t>
            </w:r>
          </w:p>
        </w:tc>
      </w:tr>
      <w:tr w:rsidR="00D81C4A" w:rsidTr="00652B99">
        <w:tc>
          <w:tcPr>
            <w:cnfStyle w:val="001000000000"/>
            <w:tcW w:w="1668" w:type="dxa"/>
          </w:tcPr>
          <w:p w:rsidR="00D81C4A" w:rsidRDefault="00D81C4A" w:rsidP="00E33E82">
            <w:r>
              <w:t>Appendix C</w:t>
            </w:r>
          </w:p>
        </w:tc>
        <w:tc>
          <w:tcPr>
            <w:tcW w:w="7574" w:type="dxa"/>
          </w:tcPr>
          <w:p w:rsidR="00D81C4A" w:rsidRPr="00E76BD8" w:rsidRDefault="00D81C4A" w:rsidP="00E76BD8">
            <w:pPr>
              <w:cnfStyle w:val="000000000000"/>
              <w:rPr>
                <w:color w:val="0070C0"/>
              </w:rPr>
            </w:pPr>
            <w:r w:rsidRPr="00E76BD8">
              <w:rPr>
                <w:color w:val="0070C0"/>
              </w:rPr>
              <w:t>Why is there no file format diagram for batch files?</w:t>
            </w:r>
          </w:p>
        </w:tc>
      </w:tr>
      <w:tr w:rsidR="00404B4E" w:rsidTr="00652B99">
        <w:trPr>
          <w:cnfStyle w:val="000000100000"/>
        </w:trPr>
        <w:tc>
          <w:tcPr>
            <w:cnfStyle w:val="001000000000"/>
            <w:tcW w:w="1668" w:type="dxa"/>
          </w:tcPr>
          <w:p w:rsidR="00404B4E" w:rsidRDefault="00404B4E" w:rsidP="00E33E82">
            <w:r>
              <w:t>Appendix H</w:t>
            </w:r>
          </w:p>
        </w:tc>
        <w:tc>
          <w:tcPr>
            <w:tcW w:w="7574" w:type="dxa"/>
          </w:tcPr>
          <w:p w:rsidR="00404B4E" w:rsidRPr="004A44E1" w:rsidRDefault="00404B4E" w:rsidP="00E76BD8">
            <w:pPr>
              <w:cnfStyle w:val="000000100000"/>
              <w:rPr>
                <w:color w:val="auto"/>
              </w:rPr>
            </w:pPr>
            <w:r w:rsidRPr="004A44E1">
              <w:rPr>
                <w:color w:val="auto"/>
              </w:rPr>
              <w:t>‘List-of Loads’ should be ‘List-of-Loads’.</w:t>
            </w:r>
          </w:p>
        </w:tc>
      </w:tr>
      <w:tr w:rsidR="004A44E1" w:rsidTr="00652B99">
        <w:tc>
          <w:tcPr>
            <w:cnfStyle w:val="001000000000"/>
            <w:tcW w:w="1668" w:type="dxa"/>
          </w:tcPr>
          <w:p w:rsidR="004A44E1" w:rsidRDefault="004A44E1" w:rsidP="004A44E1">
            <w:r>
              <w:t>Appendix H</w:t>
            </w:r>
          </w:p>
        </w:tc>
        <w:tc>
          <w:tcPr>
            <w:tcW w:w="7574" w:type="dxa"/>
          </w:tcPr>
          <w:p w:rsidR="004A44E1" w:rsidRPr="004A44E1" w:rsidRDefault="004A44E1" w:rsidP="004A44E1">
            <w:pPr>
              <w:cnfStyle w:val="000000000000"/>
              <w:rPr>
                <w:color w:val="auto"/>
              </w:rPr>
            </w:pPr>
            <w:r w:rsidRPr="004A44E1">
              <w:rPr>
                <w:color w:val="auto"/>
              </w:rPr>
              <w:t>‘</w:t>
            </w:r>
            <w:proofErr w:type="spellStart"/>
            <w:r w:rsidRPr="004A44E1">
              <w:rPr>
                <w:color w:val="auto"/>
              </w:rPr>
              <w:t>Loadsite</w:t>
            </w:r>
            <w:proofErr w:type="spellEnd"/>
            <w:r w:rsidRPr="004A44E1">
              <w:rPr>
                <w:color w:val="auto"/>
              </w:rPr>
              <w:t>’ is not</w:t>
            </w:r>
            <w:r>
              <w:rPr>
                <w:color w:val="auto"/>
              </w:rPr>
              <w:t xml:space="preserve"> used anywhere – so it seems a bit pointless to define it.</w:t>
            </w:r>
          </w:p>
        </w:tc>
      </w:tr>
      <w:tr w:rsidR="004A44E1" w:rsidTr="00652B99">
        <w:trPr>
          <w:cnfStyle w:val="000000100000"/>
        </w:trPr>
        <w:tc>
          <w:tcPr>
            <w:cnfStyle w:val="001000000000"/>
            <w:tcW w:w="1668" w:type="dxa"/>
          </w:tcPr>
          <w:p w:rsidR="004A44E1" w:rsidRDefault="004A44E1" w:rsidP="004A44E1">
            <w:r>
              <w:t>Appendix H</w:t>
            </w:r>
          </w:p>
        </w:tc>
        <w:tc>
          <w:tcPr>
            <w:tcW w:w="7574" w:type="dxa"/>
          </w:tcPr>
          <w:p w:rsidR="004A44E1" w:rsidRPr="004A44E1" w:rsidRDefault="004A44E1" w:rsidP="004A44E1">
            <w:pPr>
              <w:cnfStyle w:val="000000100000"/>
              <w:rPr>
                <w:color w:val="auto"/>
              </w:rPr>
            </w:pPr>
            <w:r>
              <w:rPr>
                <w:color w:val="auto"/>
              </w:rPr>
              <w:t>The second paragraph pertaining to ‘Load Source’ should be eliminated.</w:t>
            </w:r>
          </w:p>
        </w:tc>
      </w:tr>
      <w:tr w:rsidR="008E274E" w:rsidTr="00652B99">
        <w:tc>
          <w:tcPr>
            <w:cnfStyle w:val="001000000000"/>
            <w:tcW w:w="1668" w:type="dxa"/>
          </w:tcPr>
          <w:p w:rsidR="008E274E" w:rsidRDefault="008E274E" w:rsidP="008E274E">
            <w:r>
              <w:t>Appendix I</w:t>
            </w:r>
          </w:p>
        </w:tc>
        <w:tc>
          <w:tcPr>
            <w:tcW w:w="7574" w:type="dxa"/>
          </w:tcPr>
          <w:p w:rsidR="008E274E" w:rsidRPr="004A44E1" w:rsidRDefault="008E274E" w:rsidP="00B05211">
            <w:pPr>
              <w:cnfStyle w:val="000000000000"/>
              <w:rPr>
                <w:color w:val="auto"/>
              </w:rPr>
            </w:pPr>
            <w:r>
              <w:rPr>
                <w:color w:val="auto"/>
              </w:rPr>
              <w:t>Why is ARINC 838 categorised as a 2 and not a 3?</w:t>
            </w:r>
          </w:p>
        </w:tc>
      </w:tr>
      <w:tr w:rsidR="00B05211" w:rsidTr="00652B99">
        <w:trPr>
          <w:cnfStyle w:val="000000100000"/>
        </w:trPr>
        <w:tc>
          <w:tcPr>
            <w:cnfStyle w:val="001000000000"/>
            <w:tcW w:w="1668" w:type="dxa"/>
          </w:tcPr>
          <w:p w:rsidR="00B05211" w:rsidRDefault="00B05211" w:rsidP="00B05211">
            <w:r>
              <w:t>Appendix I</w:t>
            </w:r>
          </w:p>
        </w:tc>
        <w:tc>
          <w:tcPr>
            <w:tcW w:w="7574" w:type="dxa"/>
          </w:tcPr>
          <w:p w:rsidR="00B05211" w:rsidRPr="004A44E1" w:rsidRDefault="00B05211" w:rsidP="00B05211">
            <w:pPr>
              <w:cnfStyle w:val="000000100000"/>
              <w:rPr>
                <w:color w:val="auto"/>
              </w:rPr>
            </w:pPr>
            <w:r>
              <w:rPr>
                <w:color w:val="auto"/>
              </w:rPr>
              <w:t>Strictly, ASCII should be categorised as a 1.</w:t>
            </w:r>
          </w:p>
        </w:tc>
      </w:tr>
      <w:tr w:rsidR="00B05211" w:rsidTr="00652B99">
        <w:tc>
          <w:tcPr>
            <w:cnfStyle w:val="001000000000"/>
            <w:tcW w:w="1668" w:type="dxa"/>
          </w:tcPr>
          <w:p w:rsidR="00B05211" w:rsidRDefault="00CD0928" w:rsidP="004A44E1">
            <w:r>
              <w:t>Appendix M</w:t>
            </w:r>
          </w:p>
        </w:tc>
        <w:tc>
          <w:tcPr>
            <w:tcW w:w="7574" w:type="dxa"/>
          </w:tcPr>
          <w:p w:rsidR="00B05211" w:rsidRPr="004A44E1" w:rsidRDefault="00CD0928" w:rsidP="004A44E1">
            <w:pPr>
              <w:cnfStyle w:val="000000000000"/>
            </w:pPr>
            <w:r>
              <w:t>Section M-3.2 should be M-3.1.3.</w:t>
            </w:r>
          </w:p>
        </w:tc>
      </w:tr>
    </w:tbl>
    <w:p w:rsidR="00C553DA" w:rsidRPr="00C553DA" w:rsidRDefault="00C553DA" w:rsidP="00C553DA"/>
    <w:p w:rsidR="00C553DA" w:rsidRDefault="00C553DA"/>
    <w:sectPr w:rsidR="00C553DA" w:rsidSect="001942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3DA"/>
    <w:rsid w:val="00010051"/>
    <w:rsid w:val="000372F6"/>
    <w:rsid w:val="000410F9"/>
    <w:rsid w:val="00071CB2"/>
    <w:rsid w:val="0009404A"/>
    <w:rsid w:val="000C1DEB"/>
    <w:rsid w:val="000C3CCF"/>
    <w:rsid w:val="000F24DF"/>
    <w:rsid w:val="001324EF"/>
    <w:rsid w:val="00143C54"/>
    <w:rsid w:val="00171750"/>
    <w:rsid w:val="001942D0"/>
    <w:rsid w:val="00194D3C"/>
    <w:rsid w:val="00195F32"/>
    <w:rsid w:val="001A704F"/>
    <w:rsid w:val="001B2130"/>
    <w:rsid w:val="001B425C"/>
    <w:rsid w:val="001D0443"/>
    <w:rsid w:val="001F1BBD"/>
    <w:rsid w:val="00204B70"/>
    <w:rsid w:val="00214C0B"/>
    <w:rsid w:val="00236C00"/>
    <w:rsid w:val="00275269"/>
    <w:rsid w:val="0029200F"/>
    <w:rsid w:val="00296FE8"/>
    <w:rsid w:val="002C7B5A"/>
    <w:rsid w:val="00310018"/>
    <w:rsid w:val="00316282"/>
    <w:rsid w:val="00325CA5"/>
    <w:rsid w:val="00355B0F"/>
    <w:rsid w:val="00367B5C"/>
    <w:rsid w:val="003744C5"/>
    <w:rsid w:val="00387CE2"/>
    <w:rsid w:val="003A4E7F"/>
    <w:rsid w:val="003A7A5E"/>
    <w:rsid w:val="003C0A84"/>
    <w:rsid w:val="003C635E"/>
    <w:rsid w:val="00400B68"/>
    <w:rsid w:val="00403AE7"/>
    <w:rsid w:val="00404B4E"/>
    <w:rsid w:val="004204AD"/>
    <w:rsid w:val="00422D94"/>
    <w:rsid w:val="00446B82"/>
    <w:rsid w:val="0045549D"/>
    <w:rsid w:val="0046116C"/>
    <w:rsid w:val="004616FC"/>
    <w:rsid w:val="0046300A"/>
    <w:rsid w:val="00463C08"/>
    <w:rsid w:val="00477E93"/>
    <w:rsid w:val="00494D46"/>
    <w:rsid w:val="004A44E1"/>
    <w:rsid w:val="004A62E2"/>
    <w:rsid w:val="004B2437"/>
    <w:rsid w:val="004B549E"/>
    <w:rsid w:val="004D62EA"/>
    <w:rsid w:val="004E075C"/>
    <w:rsid w:val="004E65D4"/>
    <w:rsid w:val="004F7755"/>
    <w:rsid w:val="00503F96"/>
    <w:rsid w:val="00521820"/>
    <w:rsid w:val="00551CB4"/>
    <w:rsid w:val="0058485A"/>
    <w:rsid w:val="0058754C"/>
    <w:rsid w:val="00592D81"/>
    <w:rsid w:val="00593EFD"/>
    <w:rsid w:val="00595784"/>
    <w:rsid w:val="005C7F70"/>
    <w:rsid w:val="005F366F"/>
    <w:rsid w:val="006243BE"/>
    <w:rsid w:val="0064782B"/>
    <w:rsid w:val="00652B99"/>
    <w:rsid w:val="00654AAF"/>
    <w:rsid w:val="0068656D"/>
    <w:rsid w:val="006A16DD"/>
    <w:rsid w:val="006A408F"/>
    <w:rsid w:val="006B1275"/>
    <w:rsid w:val="006C1514"/>
    <w:rsid w:val="006C756D"/>
    <w:rsid w:val="006D4CAA"/>
    <w:rsid w:val="006D7316"/>
    <w:rsid w:val="00700988"/>
    <w:rsid w:val="0071733D"/>
    <w:rsid w:val="007320EE"/>
    <w:rsid w:val="00736757"/>
    <w:rsid w:val="00745241"/>
    <w:rsid w:val="007658D1"/>
    <w:rsid w:val="00765A80"/>
    <w:rsid w:val="00773B79"/>
    <w:rsid w:val="00796121"/>
    <w:rsid w:val="007E0629"/>
    <w:rsid w:val="007E6CA9"/>
    <w:rsid w:val="007F1A8A"/>
    <w:rsid w:val="007F23CD"/>
    <w:rsid w:val="00811DC5"/>
    <w:rsid w:val="0081400D"/>
    <w:rsid w:val="00833656"/>
    <w:rsid w:val="00845002"/>
    <w:rsid w:val="008558C0"/>
    <w:rsid w:val="00865F2E"/>
    <w:rsid w:val="00870F2D"/>
    <w:rsid w:val="00880779"/>
    <w:rsid w:val="008A7A70"/>
    <w:rsid w:val="008E274E"/>
    <w:rsid w:val="008E624C"/>
    <w:rsid w:val="008E66ED"/>
    <w:rsid w:val="008F796A"/>
    <w:rsid w:val="00902929"/>
    <w:rsid w:val="00904E5C"/>
    <w:rsid w:val="0091114C"/>
    <w:rsid w:val="00912530"/>
    <w:rsid w:val="00917033"/>
    <w:rsid w:val="0092080B"/>
    <w:rsid w:val="0092229F"/>
    <w:rsid w:val="009426DD"/>
    <w:rsid w:val="00945D8B"/>
    <w:rsid w:val="00967828"/>
    <w:rsid w:val="00980E42"/>
    <w:rsid w:val="00991C2A"/>
    <w:rsid w:val="009C022C"/>
    <w:rsid w:val="009C5CF0"/>
    <w:rsid w:val="009D28D8"/>
    <w:rsid w:val="00A00CD2"/>
    <w:rsid w:val="00A269BE"/>
    <w:rsid w:val="00A6046E"/>
    <w:rsid w:val="00A66EDF"/>
    <w:rsid w:val="00A70BF7"/>
    <w:rsid w:val="00A90DB0"/>
    <w:rsid w:val="00A93E98"/>
    <w:rsid w:val="00AE7D0D"/>
    <w:rsid w:val="00B05211"/>
    <w:rsid w:val="00B14480"/>
    <w:rsid w:val="00B23236"/>
    <w:rsid w:val="00B50872"/>
    <w:rsid w:val="00B52C56"/>
    <w:rsid w:val="00B5759B"/>
    <w:rsid w:val="00B61FFA"/>
    <w:rsid w:val="00BD096F"/>
    <w:rsid w:val="00BD65AE"/>
    <w:rsid w:val="00BE1EFB"/>
    <w:rsid w:val="00BF17F4"/>
    <w:rsid w:val="00C02C29"/>
    <w:rsid w:val="00C109C0"/>
    <w:rsid w:val="00C11F16"/>
    <w:rsid w:val="00C4780E"/>
    <w:rsid w:val="00C553DA"/>
    <w:rsid w:val="00C82891"/>
    <w:rsid w:val="00C93E56"/>
    <w:rsid w:val="00CC1251"/>
    <w:rsid w:val="00CC6451"/>
    <w:rsid w:val="00CD0532"/>
    <w:rsid w:val="00CD0928"/>
    <w:rsid w:val="00CD727C"/>
    <w:rsid w:val="00CF1A80"/>
    <w:rsid w:val="00D11D39"/>
    <w:rsid w:val="00D26CF8"/>
    <w:rsid w:val="00D441E7"/>
    <w:rsid w:val="00D557B9"/>
    <w:rsid w:val="00D613DB"/>
    <w:rsid w:val="00D653B3"/>
    <w:rsid w:val="00D716C0"/>
    <w:rsid w:val="00D75B63"/>
    <w:rsid w:val="00D81C4A"/>
    <w:rsid w:val="00D87E89"/>
    <w:rsid w:val="00D92211"/>
    <w:rsid w:val="00DB0740"/>
    <w:rsid w:val="00DB58B1"/>
    <w:rsid w:val="00DB77AB"/>
    <w:rsid w:val="00DC6736"/>
    <w:rsid w:val="00DD0AFE"/>
    <w:rsid w:val="00DF3FFB"/>
    <w:rsid w:val="00DF537F"/>
    <w:rsid w:val="00E16224"/>
    <w:rsid w:val="00E32CC3"/>
    <w:rsid w:val="00E33E82"/>
    <w:rsid w:val="00E47CB8"/>
    <w:rsid w:val="00E56613"/>
    <w:rsid w:val="00E651A9"/>
    <w:rsid w:val="00E76BD8"/>
    <w:rsid w:val="00E857C8"/>
    <w:rsid w:val="00E85DCC"/>
    <w:rsid w:val="00EA4C8B"/>
    <w:rsid w:val="00EA660F"/>
    <w:rsid w:val="00EC0DD6"/>
    <w:rsid w:val="00EE2565"/>
    <w:rsid w:val="00EF73B3"/>
    <w:rsid w:val="00F0014E"/>
    <w:rsid w:val="00F1012D"/>
    <w:rsid w:val="00F25BB1"/>
    <w:rsid w:val="00F301EE"/>
    <w:rsid w:val="00F34A7D"/>
    <w:rsid w:val="00F54E9B"/>
    <w:rsid w:val="00F66521"/>
    <w:rsid w:val="00F713D7"/>
    <w:rsid w:val="00F8201E"/>
    <w:rsid w:val="00F91722"/>
    <w:rsid w:val="00F9625C"/>
    <w:rsid w:val="00FA02A0"/>
    <w:rsid w:val="00FA498C"/>
    <w:rsid w:val="00FD5E12"/>
    <w:rsid w:val="00FE5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D0"/>
  </w:style>
  <w:style w:type="paragraph" w:styleId="Heading1">
    <w:name w:val="heading 1"/>
    <w:basedOn w:val="Normal"/>
    <w:next w:val="Normal"/>
    <w:link w:val="Heading1Char"/>
    <w:uiPriority w:val="9"/>
    <w:qFormat/>
    <w:rsid w:val="00C55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3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5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C553D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5</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Vinnicombe</dc:creator>
  <cp:lastModifiedBy>Ian Vinnicombe</cp:lastModifiedBy>
  <cp:revision>153</cp:revision>
  <dcterms:created xsi:type="dcterms:W3CDTF">2015-06-08T08:12:00Z</dcterms:created>
  <dcterms:modified xsi:type="dcterms:W3CDTF">2015-06-11T14:07:00Z</dcterms:modified>
</cp:coreProperties>
</file>